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85018" w14:textId="77777777" w:rsidR="002C73B8" w:rsidRDefault="002C73B8">
      <w:pPr>
        <w:pStyle w:val="BodyText"/>
        <w:rPr>
          <w:rFonts w:ascii="Times New Roman"/>
          <w:sz w:val="20"/>
        </w:rPr>
      </w:pPr>
    </w:p>
    <w:p w14:paraId="19F85019" w14:textId="77777777" w:rsidR="002C73B8" w:rsidRDefault="002C73B8">
      <w:pPr>
        <w:pStyle w:val="BodyText"/>
        <w:spacing w:before="2"/>
        <w:rPr>
          <w:rFonts w:ascii="Times New Roman"/>
          <w:sz w:val="17"/>
        </w:rPr>
      </w:pPr>
    </w:p>
    <w:p w14:paraId="19F8501A" w14:textId="77777777" w:rsidR="002C73B8" w:rsidRDefault="00835DFA">
      <w:pPr>
        <w:spacing w:before="20"/>
        <w:ind w:left="100"/>
        <w:rPr>
          <w:b/>
          <w:sz w:val="40"/>
        </w:rPr>
      </w:pPr>
      <w:r>
        <w:rPr>
          <w:b/>
          <w:color w:val="E14E35"/>
          <w:sz w:val="40"/>
        </w:rPr>
        <w:t>Collaborer pour commercialiser (CPC)</w:t>
      </w:r>
    </w:p>
    <w:p w14:paraId="19F8501B" w14:textId="77777777" w:rsidR="002C73B8" w:rsidRDefault="00835DFA">
      <w:pPr>
        <w:spacing w:before="241"/>
        <w:ind w:left="100"/>
        <w:rPr>
          <w:rFonts w:ascii="Cambria"/>
          <w:sz w:val="32"/>
        </w:rPr>
      </w:pPr>
      <w:r>
        <w:rPr>
          <w:rFonts w:ascii="Cambria"/>
          <w:color w:val="365F91"/>
          <w:sz w:val="32"/>
        </w:rPr>
        <w:t>Table des mati</w:t>
      </w:r>
      <w:r>
        <w:rPr>
          <w:rFonts w:ascii="Cambria"/>
          <w:color w:val="365F91"/>
          <w:sz w:val="32"/>
        </w:rPr>
        <w:t>è</w:t>
      </w:r>
      <w:r>
        <w:rPr>
          <w:rFonts w:ascii="Cambria"/>
          <w:color w:val="365F91"/>
          <w:sz w:val="32"/>
        </w:rPr>
        <w:t>res</w:t>
      </w:r>
    </w:p>
    <w:sdt>
      <w:sdtPr>
        <w:id w:val="1131521661"/>
        <w:docPartObj>
          <w:docPartGallery w:val="Table of Contents"/>
          <w:docPartUnique/>
        </w:docPartObj>
      </w:sdtPr>
      <w:sdtContent>
        <w:p w14:paraId="19F8501C" w14:textId="77777777" w:rsidR="002C73B8" w:rsidRDefault="00835DFA">
          <w:pPr>
            <w:pStyle w:val="TOC1"/>
            <w:tabs>
              <w:tab w:val="right" w:leader="dot" w:pos="9872"/>
            </w:tabs>
            <w:spacing w:before="149"/>
          </w:pPr>
          <w:hyperlink w:anchor="_bookmark0" w:history="1">
            <w:r>
              <w:t>Information sur le programme et conditions d’admissibilité</w:t>
            </w:r>
            <w:r>
              <w:tab/>
              <w:t>2</w:t>
            </w:r>
          </w:hyperlink>
        </w:p>
        <w:p w14:paraId="19F8501D" w14:textId="77777777" w:rsidR="002C73B8" w:rsidRDefault="00835DFA">
          <w:pPr>
            <w:pStyle w:val="TOC2"/>
            <w:tabs>
              <w:tab w:val="right" w:leader="dot" w:pos="9872"/>
            </w:tabs>
            <w:spacing w:before="123"/>
          </w:pPr>
          <w:hyperlink w:anchor="_bookmark1" w:history="1">
            <w:r>
              <w:t>Aperçu du programme et des avantages</w:t>
            </w:r>
            <w:r>
              <w:tab/>
              <w:t>2</w:t>
            </w:r>
          </w:hyperlink>
        </w:p>
        <w:p w14:paraId="19F8501E" w14:textId="77777777" w:rsidR="002C73B8" w:rsidRDefault="00835DFA">
          <w:pPr>
            <w:pStyle w:val="TOC2"/>
            <w:tabs>
              <w:tab w:val="right" w:leader="dot" w:pos="9872"/>
            </w:tabs>
            <w:spacing w:before="120"/>
          </w:pPr>
          <w:hyperlink w:anchor="_bookmark2" w:history="1">
            <w:r>
              <w:t>Fonctionnement du financement</w:t>
            </w:r>
            <w:r>
              <w:tab/>
              <w:t>2</w:t>
            </w:r>
          </w:hyperlink>
        </w:p>
        <w:p w14:paraId="19F8501F" w14:textId="77777777" w:rsidR="002C73B8" w:rsidRDefault="00835DFA">
          <w:pPr>
            <w:pStyle w:val="TOC2"/>
            <w:tabs>
              <w:tab w:val="right" w:leader="dot" w:pos="9872"/>
            </w:tabs>
            <w:spacing w:before="123"/>
          </w:pPr>
          <w:hyperlink w:anchor="_bookmark3" w:history="1">
            <w:r>
              <w:t>CRSNG – Subventions Alliance</w:t>
            </w:r>
            <w:r>
              <w:tab/>
              <w:t>3</w:t>
            </w:r>
          </w:hyperlink>
        </w:p>
        <w:p w14:paraId="19F85020" w14:textId="77777777" w:rsidR="002C73B8" w:rsidRDefault="00835DFA">
          <w:pPr>
            <w:pStyle w:val="TOC2"/>
            <w:tabs>
              <w:tab w:val="right" w:leader="dot" w:pos="9872"/>
            </w:tabs>
          </w:pPr>
          <w:hyperlink w:anchor="_bookmark4" w:history="1">
            <w:r>
              <w:t>CRSNG – Subventions de RDA</w:t>
            </w:r>
            <w:r>
              <w:tab/>
              <w:t>3</w:t>
            </w:r>
          </w:hyperlink>
        </w:p>
        <w:p w14:paraId="19F85021" w14:textId="77777777" w:rsidR="002C73B8" w:rsidRDefault="00835DFA">
          <w:pPr>
            <w:pStyle w:val="TOC2"/>
            <w:tabs>
              <w:tab w:val="right" w:leader="dot" w:pos="9872"/>
            </w:tabs>
            <w:spacing w:before="121"/>
          </w:pPr>
          <w:hyperlink w:anchor="_bookmark5" w:history="1">
            <w:r>
              <w:t>Conditions d’admissibilité</w:t>
            </w:r>
            <w:r>
              <w:tab/>
              <w:t>4</w:t>
            </w:r>
          </w:hyperlink>
        </w:p>
        <w:p w14:paraId="19F85022" w14:textId="77777777" w:rsidR="002C73B8" w:rsidRDefault="00835DFA">
          <w:pPr>
            <w:pStyle w:val="TOC2"/>
            <w:tabs>
              <w:tab w:val="right" w:leader="dot" w:pos="9872"/>
            </w:tabs>
          </w:pPr>
          <w:hyperlink w:anchor="_bookmark6" w:history="1">
            <w:r>
              <w:t>Partenaire de recherche</w:t>
            </w:r>
            <w:r>
              <w:tab/>
              <w:t>4</w:t>
            </w:r>
          </w:hyperlink>
        </w:p>
        <w:p w14:paraId="19F85023" w14:textId="77777777" w:rsidR="002C73B8" w:rsidRDefault="00835DFA">
          <w:pPr>
            <w:pStyle w:val="TOC2"/>
            <w:tabs>
              <w:tab w:val="right" w:leader="dot" w:pos="9872"/>
            </w:tabs>
            <w:spacing w:before="123"/>
          </w:pPr>
          <w:hyperlink w:anchor="_bookmark7" w:history="1">
            <w:r>
              <w:t>PME participante au projet</w:t>
            </w:r>
            <w:r>
              <w:tab/>
              <w:t>4</w:t>
            </w:r>
          </w:hyperlink>
        </w:p>
        <w:p w14:paraId="19F85024" w14:textId="77777777" w:rsidR="002C73B8" w:rsidRDefault="00835DFA">
          <w:pPr>
            <w:pStyle w:val="TOC2"/>
            <w:tabs>
              <w:tab w:val="right" w:leader="dot" w:pos="9872"/>
            </w:tabs>
          </w:pPr>
          <w:hyperlink w:anchor="_bookmark8" w:history="1">
            <w:r>
              <w:t>Projet</w:t>
            </w:r>
            <w:r>
              <w:tab/>
              <w:t>4</w:t>
            </w:r>
          </w:hyperlink>
        </w:p>
        <w:p w14:paraId="19F85025" w14:textId="77777777" w:rsidR="002C73B8" w:rsidRDefault="00835DFA">
          <w:pPr>
            <w:pStyle w:val="TOC1"/>
            <w:tabs>
              <w:tab w:val="right" w:leader="dot" w:pos="9872"/>
            </w:tabs>
            <w:spacing w:before="121"/>
          </w:pPr>
          <w:hyperlink w:anchor="_bookmark9" w:history="1">
            <w:r>
              <w:t>Admissibilité des projets en partenariat de CPC : CRSNG</w:t>
            </w:r>
            <w:r>
              <w:tab/>
              <w:t>5</w:t>
            </w:r>
          </w:hyperlink>
        </w:p>
        <w:p w14:paraId="19F85026" w14:textId="77777777" w:rsidR="002C73B8" w:rsidRDefault="00835DFA">
          <w:pPr>
            <w:pStyle w:val="TOC2"/>
            <w:tabs>
              <w:tab w:val="right" w:leader="dot" w:pos="9872"/>
            </w:tabs>
            <w:spacing w:before="120"/>
          </w:pPr>
          <w:hyperlink w:anchor="_bookmark10" w:history="1">
            <w:r>
              <w:t>Admissibilité aux subventions Alliance du CRSNG</w:t>
            </w:r>
            <w:r>
              <w:tab/>
              <w:t>5</w:t>
            </w:r>
          </w:hyperlink>
        </w:p>
        <w:p w14:paraId="19F85027" w14:textId="77777777" w:rsidR="002C73B8" w:rsidRDefault="00835DFA">
          <w:pPr>
            <w:pStyle w:val="TOC2"/>
            <w:tabs>
              <w:tab w:val="right" w:leader="dot" w:pos="9872"/>
            </w:tabs>
            <w:spacing w:before="123"/>
          </w:pPr>
          <w:hyperlink w:anchor="_bookmark11" w:history="1">
            <w:r>
              <w:t>Admissibilité des collèges aux subventions de RDA du CRSNG</w:t>
            </w:r>
            <w:r>
              <w:tab/>
              <w:t>5</w:t>
            </w:r>
          </w:hyperlink>
        </w:p>
        <w:p w14:paraId="19F85028" w14:textId="77777777" w:rsidR="002C73B8" w:rsidRDefault="00835DFA">
          <w:pPr>
            <w:pStyle w:val="TOC1"/>
            <w:tabs>
              <w:tab w:val="right" w:leader="dot" w:pos="9872"/>
            </w:tabs>
          </w:pPr>
          <w:hyperlink w:anchor="_bookmark12" w:history="1">
            <w:r>
              <w:t>Comment présenter une demande</w:t>
            </w:r>
            <w:r>
              <w:tab/>
              <w:t>6</w:t>
            </w:r>
          </w:hyperlink>
        </w:p>
        <w:p w14:paraId="19F85029" w14:textId="77777777" w:rsidR="002C73B8" w:rsidRDefault="00835DFA">
          <w:pPr>
            <w:pStyle w:val="TOC2"/>
            <w:tabs>
              <w:tab w:val="right" w:leader="dot" w:pos="9872"/>
            </w:tabs>
            <w:spacing w:before="123"/>
          </w:pPr>
          <w:hyperlink w:anchor="_bookmark13" w:history="1">
            <w:r>
              <w:t>Processus de demande et échéancier</w:t>
            </w:r>
            <w:r>
              <w:tab/>
              <w:t>6</w:t>
            </w:r>
          </w:hyperlink>
        </w:p>
        <w:p w14:paraId="19F8502A" w14:textId="77777777" w:rsidR="002C73B8" w:rsidRDefault="00835DFA">
          <w:pPr>
            <w:pStyle w:val="TOC2"/>
            <w:tabs>
              <w:tab w:val="right" w:leader="dot" w:pos="9872"/>
            </w:tabs>
            <w:spacing w:before="120"/>
          </w:pPr>
          <w:hyperlink w:anchor="_bookmark14" w:history="1">
            <w:r>
              <w:t>Processus et critères d’évaluation</w:t>
            </w:r>
            <w:r>
              <w:tab/>
              <w:t>7</w:t>
            </w:r>
          </w:hyperlink>
        </w:p>
        <w:p w14:paraId="19F8502B" w14:textId="77777777" w:rsidR="002C73B8" w:rsidRDefault="00835DFA">
          <w:pPr>
            <w:pStyle w:val="TOC2"/>
            <w:tabs>
              <w:tab w:val="right" w:leader="dot" w:pos="9872"/>
            </w:tabs>
          </w:pPr>
          <w:hyperlink w:anchor="_bookmark15" w:history="1">
            <w:r>
              <w:t>Critères d’évaluation</w:t>
            </w:r>
            <w:r>
              <w:tab/>
              <w:t>7</w:t>
            </w:r>
          </w:hyperlink>
        </w:p>
        <w:p w14:paraId="19F8502C" w14:textId="77777777" w:rsidR="002C73B8" w:rsidRDefault="00835DFA">
          <w:pPr>
            <w:pStyle w:val="TOC1"/>
            <w:tabs>
              <w:tab w:val="right" w:leader="dot" w:pos="9872"/>
            </w:tabs>
            <w:spacing w:before="121"/>
          </w:pPr>
          <w:hyperlink w:anchor="_bookmark16" w:history="1">
            <w:r>
              <w:t>Lancement du projet, financement et production de rapports</w:t>
            </w:r>
            <w:r>
              <w:tab/>
              <w:t>8</w:t>
            </w:r>
          </w:hyperlink>
        </w:p>
        <w:p w14:paraId="19F8502D" w14:textId="77777777" w:rsidR="002C73B8" w:rsidRDefault="00835DFA">
          <w:pPr>
            <w:pStyle w:val="TOC2"/>
            <w:tabs>
              <w:tab w:val="right" w:leader="dot" w:pos="9872"/>
            </w:tabs>
          </w:pPr>
          <w:hyperlink w:anchor="_bookmark17" w:history="1">
            <w:r>
              <w:t>Lancement du projet</w:t>
            </w:r>
            <w:r>
              <w:tab/>
              <w:t>8</w:t>
            </w:r>
          </w:hyperlink>
        </w:p>
        <w:p w14:paraId="19F8502E" w14:textId="77777777" w:rsidR="002C73B8" w:rsidRDefault="00835DFA">
          <w:pPr>
            <w:pStyle w:val="TOC2"/>
            <w:tabs>
              <w:tab w:val="right" w:leader="dot" w:pos="9872"/>
            </w:tabs>
            <w:spacing w:before="121"/>
          </w:pPr>
          <w:hyperlink w:anchor="_bookmark18" w:history="1">
            <w:r>
              <w:t>Documents de référence</w:t>
            </w:r>
            <w:r>
              <w:tab/>
              <w:t>8</w:t>
            </w:r>
          </w:hyperlink>
        </w:p>
        <w:p w14:paraId="19F8502F" w14:textId="77777777" w:rsidR="002C73B8" w:rsidRDefault="00835DFA">
          <w:pPr>
            <w:pStyle w:val="TOC2"/>
            <w:tabs>
              <w:tab w:val="right" w:leader="dot" w:pos="9872"/>
            </w:tabs>
          </w:pPr>
          <w:hyperlink w:anchor="_bookmark19" w:history="1">
            <w:r>
              <w:t>Versement des fonds</w:t>
            </w:r>
            <w:r>
              <w:tab/>
              <w:t>8</w:t>
            </w:r>
          </w:hyperlink>
        </w:p>
        <w:p w14:paraId="19F85030" w14:textId="77777777" w:rsidR="002C73B8" w:rsidRDefault="00835DFA">
          <w:pPr>
            <w:pStyle w:val="TOC1"/>
            <w:tabs>
              <w:tab w:val="right" w:leader="dot" w:pos="9872"/>
            </w:tabs>
          </w:pPr>
          <w:hyperlink w:anchor="_bookmark20" w:history="1">
            <w:r>
              <w:t>Production des rapports du projet</w:t>
            </w:r>
            <w:r>
              <w:tab/>
              <w:t>9</w:t>
            </w:r>
          </w:hyperlink>
        </w:p>
        <w:p w14:paraId="19F85031" w14:textId="77777777" w:rsidR="002C73B8" w:rsidRDefault="00835DFA">
          <w:pPr>
            <w:pStyle w:val="TOC2"/>
            <w:tabs>
              <w:tab w:val="right" w:leader="dot" w:pos="9872"/>
            </w:tabs>
            <w:spacing w:before="123"/>
          </w:pPr>
          <w:hyperlink w:anchor="_bookmark21" w:history="1">
            <w:r>
              <w:t>Rapports d’étape finaux et demandes de remboursement</w:t>
            </w:r>
            <w:r>
              <w:tab/>
              <w:t>9</w:t>
            </w:r>
          </w:hyperlink>
        </w:p>
        <w:p w14:paraId="19F85032" w14:textId="77777777" w:rsidR="002C73B8" w:rsidRDefault="00835DFA">
          <w:pPr>
            <w:pStyle w:val="TOC2"/>
            <w:tabs>
              <w:tab w:val="right" w:leader="dot" w:pos="9872"/>
            </w:tabs>
            <w:spacing w:before="123"/>
          </w:pPr>
          <w:hyperlink w:anchor="_bookmark22" w:history="1">
            <w:r>
              <w:t>Rapports d’étape et demandes de remboursement</w:t>
            </w:r>
            <w:r>
              <w:tab/>
              <w:t>9</w:t>
            </w:r>
          </w:hyperlink>
        </w:p>
        <w:p w14:paraId="19F85033" w14:textId="77777777" w:rsidR="002C73B8" w:rsidRDefault="00835DFA">
          <w:pPr>
            <w:pStyle w:val="TOC2"/>
            <w:tabs>
              <w:tab w:val="right" w:leader="dot" w:pos="9873"/>
            </w:tabs>
            <w:spacing w:before="120"/>
          </w:pPr>
          <w:hyperlink w:anchor="_bookmark23" w:history="1">
            <w:r>
              <w:t>Rapports d’étape annuels et demandes de remboursement</w:t>
            </w:r>
            <w:r>
              <w:tab/>
              <w:t>10</w:t>
            </w:r>
          </w:hyperlink>
        </w:p>
        <w:p w14:paraId="19F85034" w14:textId="77777777" w:rsidR="002C73B8" w:rsidRDefault="00835DFA">
          <w:pPr>
            <w:pStyle w:val="TOC2"/>
            <w:tabs>
              <w:tab w:val="right" w:leader="dot" w:pos="9873"/>
            </w:tabs>
            <w:spacing w:before="123"/>
          </w:pPr>
          <w:hyperlink w:anchor="_bookmark24" w:history="1">
            <w:r>
              <w:t>Enquête rétrospective</w:t>
            </w:r>
            <w:r>
              <w:tab/>
              <w:t>10</w:t>
            </w:r>
          </w:hyperlink>
        </w:p>
        <w:p w14:paraId="19F85035" w14:textId="77777777" w:rsidR="002C73B8" w:rsidRDefault="00835DFA">
          <w:pPr>
            <w:pStyle w:val="TOC1"/>
            <w:tabs>
              <w:tab w:val="right" w:leader="dot" w:pos="9873"/>
            </w:tabs>
          </w:pPr>
          <w:hyperlink w:anchor="_bookmark25" w:history="1">
            <w:r>
              <w:t>Modifications au projet</w:t>
            </w:r>
            <w:r>
              <w:tab/>
              <w:t>10</w:t>
            </w:r>
          </w:hyperlink>
        </w:p>
        <w:p w14:paraId="19F85036" w14:textId="77777777" w:rsidR="002C73B8" w:rsidRDefault="00835DFA">
          <w:pPr>
            <w:pStyle w:val="TOC2"/>
            <w:tabs>
              <w:tab w:val="right" w:leader="dot" w:pos="9873"/>
            </w:tabs>
            <w:spacing w:before="123"/>
          </w:pPr>
          <w:hyperlink w:anchor="_bookmark26" w:history="1">
            <w:r>
              <w:t>Demandes de modification en cas d’écart par rapport au budget</w:t>
            </w:r>
            <w:r>
              <w:tab/>
              <w:t>10</w:t>
            </w:r>
          </w:hyperlink>
        </w:p>
        <w:p w14:paraId="19F85037" w14:textId="77777777" w:rsidR="002C73B8" w:rsidRDefault="00835DFA">
          <w:pPr>
            <w:pStyle w:val="TOC2"/>
            <w:tabs>
              <w:tab w:val="right" w:leader="dot" w:pos="9873"/>
            </w:tabs>
            <w:spacing w:before="120"/>
          </w:pPr>
          <w:hyperlink w:anchor="_bookmark27" w:history="1">
            <w:r>
              <w:t>Demandes de prolongation de projet</w:t>
            </w:r>
            <w:r>
              <w:tab/>
              <w:t>10</w:t>
            </w:r>
          </w:hyperlink>
        </w:p>
        <w:p w14:paraId="19F85038" w14:textId="77777777" w:rsidR="002C73B8" w:rsidRDefault="00835DFA">
          <w:pPr>
            <w:pStyle w:val="TOC1"/>
            <w:tabs>
              <w:tab w:val="right" w:leader="dot" w:pos="9873"/>
            </w:tabs>
          </w:pPr>
          <w:hyperlink w:anchor="_bookmark28" w:history="1">
            <w:r>
              <w:t>Personnes-ressources</w:t>
            </w:r>
            <w:r>
              <w:tab/>
              <w:t>10</w:t>
            </w:r>
          </w:hyperlink>
        </w:p>
      </w:sdtContent>
    </w:sdt>
    <w:p w14:paraId="19F85039" w14:textId="77777777" w:rsidR="002C73B8" w:rsidRDefault="002C73B8">
      <w:pPr>
        <w:sectPr w:rsidR="002C73B8">
          <w:headerReference w:type="default" r:id="rId7"/>
          <w:footerReference w:type="default" r:id="rId8"/>
          <w:type w:val="continuous"/>
          <w:pgSz w:w="12240" w:h="15840"/>
          <w:pgMar w:top="1560" w:right="1120" w:bottom="920" w:left="1140" w:header="293" w:footer="738" w:gutter="0"/>
          <w:pgNumType w:start="1"/>
          <w:cols w:space="720"/>
        </w:sectPr>
      </w:pPr>
    </w:p>
    <w:p w14:paraId="19F8503C" w14:textId="77777777" w:rsidR="002C73B8" w:rsidRDefault="00835DFA">
      <w:pPr>
        <w:pStyle w:val="Heading1"/>
      </w:pPr>
      <w:bookmarkStart w:id="0" w:name="Program_Information_and_Eligibility_Requ"/>
      <w:bookmarkStart w:id="1" w:name="_bookmark0"/>
      <w:bookmarkEnd w:id="0"/>
      <w:bookmarkEnd w:id="1"/>
      <w:r>
        <w:rPr>
          <w:color w:val="E14E35"/>
        </w:rPr>
        <w:lastRenderedPageBreak/>
        <w:t>Information sur le programme et conditions d’admissibilité</w:t>
      </w:r>
    </w:p>
    <w:p w14:paraId="19F8503D" w14:textId="77777777" w:rsidR="002C73B8" w:rsidRDefault="00835DFA">
      <w:pPr>
        <w:pStyle w:val="Heading2"/>
        <w:spacing w:before="238" w:line="293" w:lineRule="exact"/>
      </w:pPr>
      <w:bookmarkStart w:id="2" w:name="Program_Overview_and_Benefits"/>
      <w:bookmarkStart w:id="3" w:name="_bookmark1"/>
      <w:bookmarkEnd w:id="2"/>
      <w:bookmarkEnd w:id="3"/>
      <w:r>
        <w:rPr>
          <w:color w:val="1F487B"/>
        </w:rPr>
        <w:t>Aperçu du programme et des avantages</w:t>
      </w:r>
    </w:p>
    <w:p w14:paraId="19F8503E" w14:textId="77777777" w:rsidR="002C73B8" w:rsidRPr="00817A57" w:rsidRDefault="00835DFA">
      <w:pPr>
        <w:pStyle w:val="BodyText"/>
        <w:ind w:left="301" w:right="253"/>
        <w:rPr>
          <w:sz w:val="20"/>
          <w:szCs w:val="20"/>
        </w:rPr>
      </w:pPr>
      <w:r w:rsidRPr="00817A57">
        <w:rPr>
          <w:sz w:val="20"/>
          <w:szCs w:val="20"/>
        </w:rPr>
        <w:t>Le programme Collaborer pour commercialiser (CPC) soutient la collaboration entre le milieu de l'enseignement postsecondaire et celui des affaires afin de résoudre un problème industriel et de favoriser la mise en marché de la propriété intellectuelle (PI). Les établissements s’appuieront sur les compétences uniques et les infrastructures spécialisées qui permettent de rationaliser les innovations internes et les besoins en matière de commercialisation, ce qui se traduira par une formation ciblée des individus et un engagement direct avec l’industrie en vue de travailler sur des solutions commercialement viables. Le programme soutient les efforts visant à commercialiser les résultats de la recherche dans les trois ans suivant le projet.</w:t>
      </w:r>
    </w:p>
    <w:p w14:paraId="19F8503F" w14:textId="77777777" w:rsidR="002C73B8" w:rsidRPr="00817A57" w:rsidRDefault="002C73B8">
      <w:pPr>
        <w:pStyle w:val="BodyText"/>
        <w:spacing w:before="10"/>
        <w:rPr>
          <w:sz w:val="20"/>
          <w:szCs w:val="20"/>
        </w:rPr>
      </w:pPr>
    </w:p>
    <w:p w14:paraId="19F85040" w14:textId="77777777" w:rsidR="002C73B8" w:rsidRPr="00817A57" w:rsidRDefault="00835DFA">
      <w:pPr>
        <w:pStyle w:val="BodyText"/>
        <w:spacing w:before="1"/>
        <w:ind w:left="301" w:right="985"/>
        <w:rPr>
          <w:sz w:val="20"/>
          <w:szCs w:val="20"/>
        </w:rPr>
      </w:pPr>
      <w:r w:rsidRPr="00817A57">
        <w:rPr>
          <w:sz w:val="20"/>
          <w:szCs w:val="20"/>
        </w:rPr>
        <w:t>Lorsqu’ils soumettent une proposition au programme CPC, les demandeurs admissibles peuvent également obtenir des fonds de plusieurs partenaires de cofinancement fédéraux, grâce à un processus de demande unique et simplifié. Les partenaires de cofinancement actuels comprennent :</w:t>
      </w:r>
    </w:p>
    <w:p w14:paraId="19F85041" w14:textId="77777777" w:rsidR="002C73B8" w:rsidRDefault="00835DFA">
      <w:pPr>
        <w:pStyle w:val="ListParagraph"/>
        <w:numPr>
          <w:ilvl w:val="0"/>
          <w:numId w:val="12"/>
        </w:numPr>
        <w:tabs>
          <w:tab w:val="left" w:pos="1022"/>
          <w:tab w:val="left" w:pos="1023"/>
        </w:tabs>
        <w:spacing w:before="121"/>
        <w:ind w:hanging="361"/>
      </w:pPr>
      <w:hyperlink r:id="rId9">
        <w:r>
          <w:rPr>
            <w:color w:val="0000FF"/>
            <w:u w:val="single" w:color="0000FF"/>
          </w:rPr>
          <w:t>CRSNG – Subventions Alliance</w:t>
        </w:r>
      </w:hyperlink>
    </w:p>
    <w:p w14:paraId="19F85042" w14:textId="77777777" w:rsidR="002C73B8" w:rsidRDefault="00835DFA">
      <w:pPr>
        <w:pStyle w:val="ListParagraph"/>
        <w:numPr>
          <w:ilvl w:val="0"/>
          <w:numId w:val="12"/>
        </w:numPr>
        <w:tabs>
          <w:tab w:val="left" w:pos="1022"/>
          <w:tab w:val="left" w:pos="1023"/>
        </w:tabs>
        <w:spacing w:before="63"/>
        <w:ind w:hanging="363"/>
      </w:pPr>
      <w:hyperlink r:id="rId10">
        <w:r>
          <w:rPr>
            <w:color w:val="0000FF"/>
            <w:u w:val="single" w:color="0000FF"/>
          </w:rPr>
          <w:t>CRSNG – Subventions de RDA</w:t>
        </w:r>
      </w:hyperlink>
    </w:p>
    <w:p w14:paraId="19F85043" w14:textId="77777777" w:rsidR="002C73B8" w:rsidRDefault="002C73B8">
      <w:pPr>
        <w:pStyle w:val="BodyText"/>
        <w:spacing w:before="8"/>
      </w:pPr>
    </w:p>
    <w:tbl>
      <w:tblPr>
        <w:tblStyle w:val="TableNormal1"/>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42"/>
        <w:gridCol w:w="4740"/>
      </w:tblGrid>
      <w:tr w:rsidR="002C73B8" w14:paraId="19F85046" w14:textId="77777777">
        <w:trPr>
          <w:trHeight w:val="596"/>
        </w:trPr>
        <w:tc>
          <w:tcPr>
            <w:tcW w:w="4742" w:type="dxa"/>
            <w:shd w:val="clear" w:color="auto" w:fill="3E3E3E"/>
          </w:tcPr>
          <w:p w14:paraId="19F85044" w14:textId="77777777" w:rsidR="002C73B8" w:rsidRDefault="00835DFA">
            <w:pPr>
              <w:pStyle w:val="TableParagraph"/>
              <w:spacing w:line="267" w:lineRule="exact"/>
              <w:ind w:left="14"/>
            </w:pPr>
            <w:r>
              <w:rPr>
                <w:color w:val="FFFFFF"/>
              </w:rPr>
              <w:t>Avantages pour les partenaires industriels</w:t>
            </w:r>
          </w:p>
        </w:tc>
        <w:tc>
          <w:tcPr>
            <w:tcW w:w="4740" w:type="dxa"/>
            <w:shd w:val="clear" w:color="auto" w:fill="3E3E3E"/>
          </w:tcPr>
          <w:p w14:paraId="19F85045" w14:textId="77777777" w:rsidR="002C73B8" w:rsidRDefault="00835DFA">
            <w:pPr>
              <w:pStyle w:val="TableParagraph"/>
              <w:spacing w:before="1"/>
              <w:ind w:left="14" w:right="84"/>
            </w:pPr>
            <w:r>
              <w:rPr>
                <w:color w:val="FFFFFF"/>
              </w:rPr>
              <w:t>Avantages pour les établissements d’enseignement postsecondaire (chercheurs et étudiants)</w:t>
            </w:r>
          </w:p>
        </w:tc>
      </w:tr>
      <w:tr w:rsidR="002C73B8" w14:paraId="19F8504E" w14:textId="77777777">
        <w:trPr>
          <w:trHeight w:val="3318"/>
        </w:trPr>
        <w:tc>
          <w:tcPr>
            <w:tcW w:w="4742" w:type="dxa"/>
          </w:tcPr>
          <w:p w14:paraId="19F85047" w14:textId="77777777" w:rsidR="002C73B8" w:rsidRDefault="00835DFA">
            <w:pPr>
              <w:pStyle w:val="TableParagraph"/>
              <w:numPr>
                <w:ilvl w:val="0"/>
                <w:numId w:val="11"/>
              </w:numPr>
              <w:tabs>
                <w:tab w:val="left" w:pos="437"/>
              </w:tabs>
              <w:spacing w:line="235" w:lineRule="auto"/>
              <w:ind w:right="856"/>
            </w:pPr>
            <w:r>
              <w:t>Avoir accès à des connaissances de pointe, de nouveaux talents, des installations et équipements uniques pour renforcer les capacités de R-D-de l’entreprise.</w:t>
            </w:r>
          </w:p>
          <w:p w14:paraId="19F85048" w14:textId="77777777" w:rsidR="002C73B8" w:rsidRDefault="00835DFA">
            <w:pPr>
              <w:pStyle w:val="TableParagraph"/>
              <w:numPr>
                <w:ilvl w:val="0"/>
                <w:numId w:val="11"/>
              </w:numPr>
              <w:tabs>
                <w:tab w:val="left" w:pos="437"/>
              </w:tabs>
              <w:spacing w:line="235" w:lineRule="auto"/>
              <w:ind w:right="663"/>
            </w:pPr>
            <w:r>
              <w:t>Trouver des solutions aux défis actuels de l’industrie, menant à la création de revenus et d’emplois, à des investissements subséquents, à une productivité accrue ou à des économies en matière de coûts.</w:t>
            </w:r>
          </w:p>
          <w:p w14:paraId="19F85049" w14:textId="77777777" w:rsidR="002C73B8" w:rsidRDefault="00835DFA">
            <w:pPr>
              <w:pStyle w:val="TableParagraph"/>
              <w:numPr>
                <w:ilvl w:val="0"/>
                <w:numId w:val="11"/>
              </w:numPr>
              <w:tabs>
                <w:tab w:val="left" w:pos="437"/>
              </w:tabs>
              <w:spacing w:before="2" w:line="235" w:lineRule="auto"/>
              <w:ind w:right="778"/>
            </w:pPr>
            <w:r>
              <w:t>Accéder à plusieurs sources de financement provinciales et fédérales au moyen d’une seule demande.</w:t>
            </w:r>
          </w:p>
          <w:p w14:paraId="19F8504A" w14:textId="77777777" w:rsidR="002C73B8" w:rsidRDefault="00835DFA">
            <w:pPr>
              <w:pStyle w:val="TableParagraph"/>
              <w:numPr>
                <w:ilvl w:val="0"/>
                <w:numId w:val="11"/>
              </w:numPr>
              <w:tabs>
                <w:tab w:val="left" w:pos="437"/>
              </w:tabs>
              <w:spacing w:before="4" w:line="235" w:lineRule="auto"/>
              <w:ind w:right="1398"/>
            </w:pPr>
            <w:r>
              <w:t>Établir des relations au sein des équipes de recherche de l’Ontario.</w:t>
            </w:r>
          </w:p>
        </w:tc>
        <w:tc>
          <w:tcPr>
            <w:tcW w:w="4740" w:type="dxa"/>
          </w:tcPr>
          <w:p w14:paraId="19F8504B" w14:textId="77777777" w:rsidR="002C73B8" w:rsidRDefault="00835DFA">
            <w:pPr>
              <w:pStyle w:val="TableParagraph"/>
              <w:numPr>
                <w:ilvl w:val="0"/>
                <w:numId w:val="10"/>
              </w:numPr>
              <w:tabs>
                <w:tab w:val="left" w:pos="437"/>
              </w:tabs>
              <w:spacing w:line="235" w:lineRule="auto"/>
              <w:ind w:right="795"/>
            </w:pPr>
            <w:r>
              <w:t>Tirer parti de connaissances et d’idées novatrices pour résoudre des problèmes concrets de R-D.</w:t>
            </w:r>
          </w:p>
          <w:p w14:paraId="19F8504C" w14:textId="77777777" w:rsidR="002C73B8" w:rsidRDefault="00835DFA">
            <w:pPr>
              <w:pStyle w:val="TableParagraph"/>
              <w:numPr>
                <w:ilvl w:val="0"/>
                <w:numId w:val="10"/>
              </w:numPr>
              <w:tabs>
                <w:tab w:val="left" w:pos="437"/>
              </w:tabs>
              <w:spacing w:before="2" w:line="237" w:lineRule="auto"/>
              <w:ind w:right="721"/>
            </w:pPr>
            <w:r>
              <w:t>Établir des relations avec l’industrie et au sein des réseaux du CIO.</w:t>
            </w:r>
          </w:p>
          <w:p w14:paraId="19F8504D" w14:textId="77777777" w:rsidR="002C73B8" w:rsidRDefault="00835DFA">
            <w:pPr>
              <w:pStyle w:val="TableParagraph"/>
              <w:numPr>
                <w:ilvl w:val="0"/>
                <w:numId w:val="10"/>
              </w:numPr>
              <w:tabs>
                <w:tab w:val="left" w:pos="437"/>
              </w:tabs>
              <w:spacing w:before="4" w:line="235" w:lineRule="auto"/>
              <w:ind w:left="437" w:right="511"/>
            </w:pPr>
            <w:r>
              <w:t>Offrir aux étudiants de précieuses possibilités d’apprentissage par l’expérience.</w:t>
            </w:r>
          </w:p>
        </w:tc>
      </w:tr>
    </w:tbl>
    <w:p w14:paraId="19F8504F" w14:textId="77777777" w:rsidR="002C73B8" w:rsidRDefault="00835DFA">
      <w:pPr>
        <w:pStyle w:val="Heading2"/>
        <w:spacing w:before="240"/>
      </w:pPr>
      <w:r>
        <w:rPr>
          <w:color w:val="1F487B"/>
        </w:rPr>
        <w:t>Fonctionnement du financement</w:t>
      </w:r>
    </w:p>
    <w:tbl>
      <w:tblPr>
        <w:tblStyle w:val="TableNormal1"/>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08"/>
        <w:gridCol w:w="6854"/>
      </w:tblGrid>
      <w:tr w:rsidR="002C73B8" w14:paraId="19F85055" w14:textId="77777777">
        <w:trPr>
          <w:trHeight w:val="1343"/>
        </w:trPr>
        <w:tc>
          <w:tcPr>
            <w:tcW w:w="2508" w:type="dxa"/>
            <w:tcBorders>
              <w:bottom w:val="nil"/>
            </w:tcBorders>
            <w:shd w:val="clear" w:color="auto" w:fill="3E3E3E"/>
          </w:tcPr>
          <w:p w14:paraId="19F85050" w14:textId="77777777" w:rsidR="002C73B8" w:rsidRDefault="00835DFA">
            <w:pPr>
              <w:pStyle w:val="TableParagraph"/>
              <w:spacing w:before="1"/>
              <w:ind w:left="14" w:right="640"/>
            </w:pPr>
            <w:r>
              <w:rPr>
                <w:color w:val="FFFFFF"/>
              </w:rPr>
              <w:t>Contribution du CIO Contributions au projet de PME Exemple</w:t>
            </w:r>
          </w:p>
        </w:tc>
        <w:tc>
          <w:tcPr>
            <w:tcW w:w="6854" w:type="dxa"/>
          </w:tcPr>
          <w:p w14:paraId="19F85052" w14:textId="3AB3A515" w:rsidR="002C73B8" w:rsidRDefault="00835DFA" w:rsidP="001C22F4">
            <w:pPr>
              <w:pStyle w:val="TableParagraph"/>
              <w:numPr>
                <w:ilvl w:val="0"/>
                <w:numId w:val="9"/>
              </w:numPr>
              <w:tabs>
                <w:tab w:val="left" w:pos="726"/>
                <w:tab w:val="left" w:pos="727"/>
              </w:tabs>
              <w:spacing w:line="267" w:lineRule="exact"/>
              <w:ind w:hanging="361"/>
            </w:pPr>
            <w:r>
              <w:t>50 % (maximum) du total des coûts admissibles du projet, de 20 000</w:t>
            </w:r>
            <w:r w:rsidR="001C22F4">
              <w:t> </w:t>
            </w:r>
            <w:r>
              <w:t>$ à</w:t>
            </w:r>
            <w:r w:rsidR="001C22F4">
              <w:t xml:space="preserve"> </w:t>
            </w:r>
            <w:r>
              <w:t>150 000 $.</w:t>
            </w:r>
          </w:p>
          <w:p w14:paraId="19F85053" w14:textId="77777777" w:rsidR="002C73B8" w:rsidRDefault="00835DFA">
            <w:pPr>
              <w:pStyle w:val="TableParagraph"/>
              <w:numPr>
                <w:ilvl w:val="0"/>
                <w:numId w:val="9"/>
              </w:numPr>
              <w:tabs>
                <w:tab w:val="left" w:pos="726"/>
                <w:tab w:val="left" w:pos="727"/>
              </w:tabs>
              <w:ind w:hanging="361"/>
            </w:pPr>
            <w:r>
              <w:t>Contribution minimale du CIO de 20 000 $ par année.</w:t>
            </w:r>
          </w:p>
          <w:p w14:paraId="19F85054" w14:textId="77777777" w:rsidR="002C73B8" w:rsidRDefault="00835DFA">
            <w:pPr>
              <w:pStyle w:val="TableParagraph"/>
              <w:numPr>
                <w:ilvl w:val="0"/>
                <w:numId w:val="9"/>
              </w:numPr>
              <w:tabs>
                <w:tab w:val="left" w:pos="726"/>
                <w:tab w:val="left" w:pos="727"/>
              </w:tabs>
              <w:spacing w:line="270" w:lineRule="atLeast"/>
              <w:ind w:right="751"/>
            </w:pPr>
            <w:r>
              <w:t>Les projets peuvent durer de 6 mois à 24 mois (maximum).</w:t>
            </w:r>
          </w:p>
        </w:tc>
      </w:tr>
    </w:tbl>
    <w:p w14:paraId="19F85056" w14:textId="77777777" w:rsidR="002C73B8" w:rsidRDefault="002C73B8">
      <w:pPr>
        <w:spacing w:line="270" w:lineRule="atLeast"/>
        <w:sectPr w:rsidR="002C73B8">
          <w:pgSz w:w="12240" w:h="15840"/>
          <w:pgMar w:top="1560" w:right="1120" w:bottom="920" w:left="1140" w:header="293" w:footer="738" w:gutter="0"/>
          <w:cols w:space="720"/>
        </w:sectPr>
      </w:pPr>
    </w:p>
    <w:tbl>
      <w:tblPr>
        <w:tblStyle w:val="TableNormal1"/>
        <w:tblW w:w="0" w:type="auto"/>
        <w:tblInd w:w="3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6"/>
        <w:gridCol w:w="6846"/>
      </w:tblGrid>
      <w:tr w:rsidR="002C73B8" w14:paraId="19F8505D" w14:textId="77777777">
        <w:trPr>
          <w:trHeight w:val="1695"/>
        </w:trPr>
        <w:tc>
          <w:tcPr>
            <w:tcW w:w="2516" w:type="dxa"/>
            <w:tcBorders>
              <w:top w:val="nil"/>
              <w:bottom w:val="nil"/>
            </w:tcBorders>
            <w:shd w:val="clear" w:color="auto" w:fill="3E3E3E"/>
          </w:tcPr>
          <w:p w14:paraId="19F85059" w14:textId="77777777" w:rsidR="002C73B8" w:rsidRDefault="002C73B8">
            <w:pPr>
              <w:pStyle w:val="TableParagraph"/>
              <w:ind w:left="0"/>
              <w:rPr>
                <w:rFonts w:ascii="Times New Roman"/>
              </w:rPr>
            </w:pPr>
          </w:p>
        </w:tc>
        <w:tc>
          <w:tcPr>
            <w:tcW w:w="6846" w:type="dxa"/>
          </w:tcPr>
          <w:p w14:paraId="19F8505A" w14:textId="77777777" w:rsidR="002C73B8" w:rsidRPr="005F060E" w:rsidRDefault="00835DFA">
            <w:pPr>
              <w:pStyle w:val="TableParagraph"/>
              <w:numPr>
                <w:ilvl w:val="0"/>
                <w:numId w:val="8"/>
              </w:numPr>
              <w:tabs>
                <w:tab w:val="left" w:pos="718"/>
                <w:tab w:val="left" w:pos="719"/>
              </w:tabs>
              <w:ind w:right="224"/>
              <w:rPr>
                <w:spacing w:val="-2"/>
              </w:rPr>
            </w:pPr>
            <w:r w:rsidRPr="005F060E">
              <w:rPr>
                <w:spacing w:val="-2"/>
              </w:rPr>
              <w:t>50 % (minimum) du total des coûts admissibles du projet (c.-à-d. contrepartie minimale de 1:1 à la contribution du CIO), en espèces.</w:t>
            </w:r>
          </w:p>
          <w:p w14:paraId="19F8505B" w14:textId="77777777" w:rsidR="002C73B8" w:rsidRDefault="00835DFA">
            <w:pPr>
              <w:pStyle w:val="TableParagraph"/>
              <w:numPr>
                <w:ilvl w:val="0"/>
                <w:numId w:val="8"/>
              </w:numPr>
              <w:tabs>
                <w:tab w:val="left" w:pos="718"/>
                <w:tab w:val="left" w:pos="719"/>
              </w:tabs>
              <w:ind w:left="719" w:right="249" w:hanging="361"/>
            </w:pPr>
            <w:r>
              <w:t>Au moins la moitié de la contrepartie de 1:1 doit être versée à l’établissement d’enseignement postsecondaire; le reste peut être versé à l’entreprise.</w:t>
            </w:r>
          </w:p>
          <w:p w14:paraId="19F8505C" w14:textId="77777777" w:rsidR="002C73B8" w:rsidRDefault="00835DFA">
            <w:pPr>
              <w:pStyle w:val="TableParagraph"/>
              <w:numPr>
                <w:ilvl w:val="0"/>
                <w:numId w:val="8"/>
              </w:numPr>
              <w:tabs>
                <w:tab w:val="left" w:pos="718"/>
                <w:tab w:val="left" w:pos="719"/>
              </w:tabs>
              <w:ind w:right="95"/>
            </w:pPr>
            <w:r>
              <w:t>Ne peut être jumelé à d’autres programmes de subvention fédéraux ou provinciaux, sauf indication contraire dans les présentes lignes directrices du programme.</w:t>
            </w:r>
          </w:p>
        </w:tc>
      </w:tr>
      <w:tr w:rsidR="002C73B8" w14:paraId="19F85062" w14:textId="77777777">
        <w:trPr>
          <w:trHeight w:val="1158"/>
        </w:trPr>
        <w:tc>
          <w:tcPr>
            <w:tcW w:w="2516" w:type="dxa"/>
            <w:tcBorders>
              <w:top w:val="nil"/>
              <w:bottom w:val="nil"/>
            </w:tcBorders>
            <w:shd w:val="clear" w:color="auto" w:fill="3E3E3E"/>
          </w:tcPr>
          <w:p w14:paraId="19F8505E" w14:textId="77777777" w:rsidR="002C73B8" w:rsidRDefault="002C73B8">
            <w:pPr>
              <w:pStyle w:val="TableParagraph"/>
              <w:ind w:left="0"/>
              <w:rPr>
                <w:rFonts w:ascii="Times New Roman"/>
              </w:rPr>
            </w:pPr>
          </w:p>
        </w:tc>
        <w:tc>
          <w:tcPr>
            <w:tcW w:w="6846" w:type="dxa"/>
          </w:tcPr>
          <w:p w14:paraId="19F8505F" w14:textId="77777777" w:rsidR="002C73B8" w:rsidRDefault="00835DFA">
            <w:pPr>
              <w:pStyle w:val="TableParagraph"/>
              <w:numPr>
                <w:ilvl w:val="0"/>
                <w:numId w:val="7"/>
              </w:numPr>
              <w:tabs>
                <w:tab w:val="left" w:pos="718"/>
                <w:tab w:val="left" w:pos="719"/>
              </w:tabs>
              <w:spacing w:line="267" w:lineRule="exact"/>
              <w:ind w:left="718" w:hanging="361"/>
            </w:pPr>
            <w:r>
              <w:t>Exemple de coûts totaux admissibles du projet : 200 000 $.</w:t>
            </w:r>
          </w:p>
          <w:p w14:paraId="19F85060" w14:textId="77777777" w:rsidR="002C73B8" w:rsidRDefault="00835DFA">
            <w:pPr>
              <w:pStyle w:val="TableParagraph"/>
              <w:numPr>
                <w:ilvl w:val="0"/>
                <w:numId w:val="7"/>
              </w:numPr>
              <w:tabs>
                <w:tab w:val="left" w:pos="718"/>
                <w:tab w:val="left" w:pos="719"/>
              </w:tabs>
              <w:ind w:left="718" w:hanging="361"/>
            </w:pPr>
            <w:r>
              <w:t>Contribution maximale du CIO : 100 000 $ à l’établissement d’enseignement postsecondaire.</w:t>
            </w:r>
          </w:p>
          <w:p w14:paraId="19F85061" w14:textId="77777777" w:rsidR="002C73B8" w:rsidRDefault="00835DFA">
            <w:pPr>
              <w:pStyle w:val="TableParagraph"/>
              <w:numPr>
                <w:ilvl w:val="0"/>
                <w:numId w:val="7"/>
              </w:numPr>
              <w:tabs>
                <w:tab w:val="left" w:pos="718"/>
                <w:tab w:val="left" w:pos="719"/>
              </w:tabs>
              <w:spacing w:before="3"/>
              <w:ind w:right="284" w:hanging="361"/>
            </w:pPr>
            <w:r>
              <w:t>Contribution minimale des partenaires industriels : 100 000 $ (50 000 $ à l’établissement d’enseignement postsecondaire, plus 50 000 $ versés à l’entreprise).</w:t>
            </w:r>
          </w:p>
        </w:tc>
      </w:tr>
      <w:tr w:rsidR="002C73B8" w14:paraId="19F85065" w14:textId="77777777" w:rsidTr="008C79AC">
        <w:trPr>
          <w:trHeight w:val="567"/>
        </w:trPr>
        <w:tc>
          <w:tcPr>
            <w:tcW w:w="2516" w:type="dxa"/>
            <w:tcBorders>
              <w:top w:val="nil"/>
              <w:bottom w:val="nil"/>
            </w:tcBorders>
            <w:shd w:val="clear" w:color="auto" w:fill="3E3E3E"/>
          </w:tcPr>
          <w:p w14:paraId="19F85063" w14:textId="0FB86B0B" w:rsidR="002C73B8" w:rsidRDefault="00835DFA">
            <w:pPr>
              <w:pStyle w:val="TableParagraph"/>
              <w:ind w:left="9" w:right="518"/>
            </w:pPr>
            <w:r>
              <w:rPr>
                <w:color w:val="FFFFFF"/>
              </w:rPr>
              <w:t>Bénéficiaire du financement du CIO</w:t>
            </w:r>
          </w:p>
        </w:tc>
        <w:tc>
          <w:tcPr>
            <w:tcW w:w="6846" w:type="dxa"/>
          </w:tcPr>
          <w:p w14:paraId="19F85064" w14:textId="77777777" w:rsidR="002C73B8" w:rsidRDefault="00835DFA">
            <w:pPr>
              <w:pStyle w:val="TableParagraph"/>
              <w:numPr>
                <w:ilvl w:val="0"/>
                <w:numId w:val="6"/>
              </w:numPr>
              <w:tabs>
                <w:tab w:val="left" w:pos="718"/>
                <w:tab w:val="left" w:pos="719"/>
              </w:tabs>
              <w:ind w:right="207"/>
            </w:pPr>
            <w:r>
              <w:t>Établissement d’enseignement postsecondaire financé par des fonds publics (c.-à-d., université, collège, hôpital de recherche).</w:t>
            </w:r>
          </w:p>
        </w:tc>
      </w:tr>
      <w:tr w:rsidR="002C73B8" w14:paraId="19F8506B" w14:textId="77777777">
        <w:trPr>
          <w:trHeight w:val="2142"/>
        </w:trPr>
        <w:tc>
          <w:tcPr>
            <w:tcW w:w="2516" w:type="dxa"/>
            <w:tcBorders>
              <w:top w:val="nil"/>
              <w:bottom w:val="nil"/>
            </w:tcBorders>
            <w:shd w:val="clear" w:color="auto" w:fill="3E3E3E"/>
          </w:tcPr>
          <w:p w14:paraId="19F85066" w14:textId="558D74F8" w:rsidR="002C73B8" w:rsidRDefault="008C79AC">
            <w:pPr>
              <w:pStyle w:val="TableParagraph"/>
              <w:spacing w:line="267" w:lineRule="exact"/>
              <w:ind w:left="9"/>
            </w:pPr>
            <w:r>
              <w:rPr>
                <w:color w:val="FFFFFF"/>
              </w:rPr>
              <w:t>Fr</w:t>
            </w:r>
            <w:r w:rsidR="009927DB" w:rsidRPr="009927DB">
              <w:rPr>
                <w:color w:val="FFFFFF"/>
              </w:rPr>
              <w:t>ais généraux des établissements</w:t>
            </w:r>
          </w:p>
        </w:tc>
        <w:tc>
          <w:tcPr>
            <w:tcW w:w="6846" w:type="dxa"/>
          </w:tcPr>
          <w:p w14:paraId="19F85067" w14:textId="77777777" w:rsidR="002C73B8" w:rsidRDefault="00835DFA">
            <w:pPr>
              <w:pStyle w:val="TableParagraph"/>
              <w:numPr>
                <w:ilvl w:val="0"/>
                <w:numId w:val="5"/>
              </w:numPr>
              <w:tabs>
                <w:tab w:val="left" w:pos="718"/>
                <w:tab w:val="left" w:pos="719"/>
              </w:tabs>
              <w:spacing w:line="242" w:lineRule="auto"/>
              <w:ind w:right="688"/>
            </w:pPr>
            <w:r>
              <w:t>Les frais généraux ne représentent pas une dépense admissible du projet et ne peuvent être inclus dans le budget du projet.</w:t>
            </w:r>
          </w:p>
          <w:p w14:paraId="19F85068" w14:textId="77777777" w:rsidR="002C73B8" w:rsidRDefault="00835DFA">
            <w:pPr>
              <w:pStyle w:val="TableParagraph"/>
              <w:numPr>
                <w:ilvl w:val="0"/>
                <w:numId w:val="5"/>
              </w:numPr>
              <w:tabs>
                <w:tab w:val="left" w:pos="718"/>
                <w:tab w:val="left" w:pos="719"/>
              </w:tabs>
              <w:spacing w:line="237" w:lineRule="auto"/>
              <w:ind w:right="1309"/>
            </w:pPr>
            <w:r>
              <w:t>Les frais généraux sur la contribution du CIO seront remis séparément par le CIO à l’établissement d’enseignement (10 % des contributions du CIO aux coûts directs du projet).</w:t>
            </w:r>
          </w:p>
          <w:p w14:paraId="19F8506A" w14:textId="3A7B13D3" w:rsidR="002C73B8" w:rsidRDefault="00835DFA" w:rsidP="005F060E">
            <w:pPr>
              <w:pStyle w:val="TableParagraph"/>
              <w:numPr>
                <w:ilvl w:val="0"/>
                <w:numId w:val="5"/>
              </w:numPr>
              <w:tabs>
                <w:tab w:val="left" w:pos="718"/>
                <w:tab w:val="left" w:pos="719"/>
              </w:tabs>
              <w:ind w:right="98"/>
            </w:pPr>
            <w:r>
              <w:t>Les frais généraux sur la contribution du partenaire industriel payable à l’établissement d’enseignement doivent être discutés avec le bureau de recherche de l’établissement</w:t>
            </w:r>
            <w:r w:rsidR="005F060E">
              <w:t xml:space="preserve"> </w:t>
            </w:r>
            <w:r>
              <w:t>au moment de la demande afin de s’assurer qu’ils sont correctement comptabilisés.</w:t>
            </w:r>
          </w:p>
        </w:tc>
      </w:tr>
    </w:tbl>
    <w:p w14:paraId="19F8506E" w14:textId="2913AC6C" w:rsidR="002C73B8" w:rsidRPr="00817A57" w:rsidRDefault="00835DFA">
      <w:pPr>
        <w:pStyle w:val="BodyText"/>
        <w:spacing w:before="57"/>
        <w:ind w:left="301" w:right="405"/>
        <w:rPr>
          <w:sz w:val="20"/>
          <w:szCs w:val="20"/>
        </w:rPr>
      </w:pPr>
      <w:r w:rsidRPr="00817A57">
        <w:rPr>
          <w:sz w:val="20"/>
          <w:szCs w:val="20"/>
        </w:rPr>
        <w:t xml:space="preserve">Les demandeurs peuvent présenter une demande conjointe auprès des organismes de cofinancement suivants dans le cadre d’une demande </w:t>
      </w:r>
      <w:r w:rsidR="001E2705">
        <w:rPr>
          <w:sz w:val="20"/>
          <w:szCs w:val="20"/>
        </w:rPr>
        <w:t>a</w:t>
      </w:r>
      <w:r w:rsidRPr="00817A57">
        <w:rPr>
          <w:sz w:val="20"/>
          <w:szCs w:val="20"/>
        </w:rPr>
        <w:t>u programme CPC du CIO, si toutes les conditions d’admissibilité sont remplies. Veuillez consulter l’onglet « Admissibilité » (admissibilité des organismes de cofinancement) pour plus de détails.</w:t>
      </w:r>
    </w:p>
    <w:p w14:paraId="19F8506F" w14:textId="77777777" w:rsidR="002C73B8" w:rsidRDefault="00835DFA">
      <w:pPr>
        <w:pStyle w:val="ListParagraph"/>
        <w:numPr>
          <w:ilvl w:val="0"/>
          <w:numId w:val="12"/>
        </w:numPr>
        <w:tabs>
          <w:tab w:val="left" w:pos="1022"/>
          <w:tab w:val="left" w:pos="1023"/>
        </w:tabs>
        <w:spacing w:before="121"/>
        <w:ind w:hanging="361"/>
      </w:pPr>
      <w:hyperlink r:id="rId11">
        <w:r>
          <w:rPr>
            <w:color w:val="0000FF"/>
            <w:u w:val="single" w:color="0000FF"/>
          </w:rPr>
          <w:t>CRSNG – Subventions Alliance</w:t>
        </w:r>
      </w:hyperlink>
    </w:p>
    <w:bookmarkStart w:id="4" w:name="NSERC_‐_Alliance"/>
    <w:bookmarkEnd w:id="4"/>
    <w:p w14:paraId="19F85070" w14:textId="77777777" w:rsidR="002C73B8" w:rsidRDefault="00835DFA">
      <w:pPr>
        <w:pStyle w:val="ListParagraph"/>
        <w:numPr>
          <w:ilvl w:val="0"/>
          <w:numId w:val="12"/>
        </w:numPr>
        <w:tabs>
          <w:tab w:val="left" w:pos="1022"/>
          <w:tab w:val="left" w:pos="1023"/>
        </w:tabs>
        <w:spacing w:before="62"/>
        <w:ind w:hanging="363"/>
      </w:pPr>
      <w:r>
        <w:fldChar w:fldCharType="begin"/>
      </w:r>
      <w:r>
        <w:instrText>HYPERLINK "https://www.nserc-crsng.gc.ca/Professors-Professeurs/RPP-PP/ARD-RDA/Funding-Financement_fra.asp" \h</w:instrText>
      </w:r>
      <w:r>
        <w:fldChar w:fldCharType="separate"/>
      </w:r>
      <w:bookmarkStart w:id="5" w:name="_bookmark3"/>
      <w:bookmarkEnd w:id="5"/>
      <w:r>
        <w:rPr>
          <w:color w:val="0000FF"/>
          <w:u w:val="single" w:color="0000FF"/>
        </w:rPr>
        <w:t>CRSNG – Subventions de RDA</w:t>
      </w:r>
      <w:r>
        <w:rPr>
          <w:color w:val="0000FF"/>
          <w:u w:val="single" w:color="0000FF"/>
        </w:rPr>
        <w:fldChar w:fldCharType="end"/>
      </w:r>
    </w:p>
    <w:p w14:paraId="19F85072" w14:textId="77777777" w:rsidR="002C73B8" w:rsidRDefault="00835DFA">
      <w:pPr>
        <w:pStyle w:val="Heading2"/>
        <w:spacing w:before="52"/>
      </w:pPr>
      <w:r>
        <w:rPr>
          <w:color w:val="1F487B"/>
        </w:rPr>
        <w:t>CRSNG – Subventions Alliance</w:t>
      </w:r>
    </w:p>
    <w:tbl>
      <w:tblPr>
        <w:tblStyle w:val="TableNormal1"/>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7"/>
        <w:gridCol w:w="5604"/>
      </w:tblGrid>
      <w:tr w:rsidR="002C73B8" w14:paraId="19F85075" w14:textId="77777777">
        <w:trPr>
          <w:trHeight w:val="265"/>
        </w:trPr>
        <w:tc>
          <w:tcPr>
            <w:tcW w:w="3737" w:type="dxa"/>
          </w:tcPr>
          <w:p w14:paraId="19F85073" w14:textId="77777777" w:rsidR="002C73B8" w:rsidRDefault="002C73B8">
            <w:pPr>
              <w:pStyle w:val="TableParagraph"/>
              <w:ind w:left="0"/>
              <w:rPr>
                <w:rFonts w:ascii="Times New Roman"/>
                <w:sz w:val="18"/>
              </w:rPr>
            </w:pPr>
          </w:p>
        </w:tc>
        <w:tc>
          <w:tcPr>
            <w:tcW w:w="5604" w:type="dxa"/>
          </w:tcPr>
          <w:p w14:paraId="19F85074" w14:textId="77777777" w:rsidR="002C73B8" w:rsidRDefault="00835DFA">
            <w:pPr>
              <w:pStyle w:val="TableParagraph"/>
              <w:spacing w:line="246" w:lineRule="exact"/>
              <w:rPr>
                <w:b/>
              </w:rPr>
            </w:pPr>
            <w:r>
              <w:rPr>
                <w:b/>
                <w:color w:val="1F487B"/>
              </w:rPr>
              <w:t>CRSNG – Subventions Alliance</w:t>
            </w:r>
          </w:p>
        </w:tc>
      </w:tr>
      <w:tr w:rsidR="002C73B8" w14:paraId="19F85079" w14:textId="77777777" w:rsidTr="000D6ECC">
        <w:trPr>
          <w:trHeight w:val="340"/>
        </w:trPr>
        <w:tc>
          <w:tcPr>
            <w:tcW w:w="3737" w:type="dxa"/>
          </w:tcPr>
          <w:p w14:paraId="19F85076" w14:textId="77777777" w:rsidR="002C73B8" w:rsidRDefault="00835DFA">
            <w:pPr>
              <w:pStyle w:val="TableParagraph"/>
              <w:spacing w:before="3"/>
              <w:ind w:left="13"/>
              <w:rPr>
                <w:b/>
              </w:rPr>
            </w:pPr>
            <w:r>
              <w:rPr>
                <w:b/>
              </w:rPr>
              <w:t>Contribution</w:t>
            </w:r>
          </w:p>
        </w:tc>
        <w:tc>
          <w:tcPr>
            <w:tcW w:w="5604" w:type="dxa"/>
          </w:tcPr>
          <w:p w14:paraId="19F85078" w14:textId="447799BB" w:rsidR="002C73B8" w:rsidRDefault="00835DFA" w:rsidP="008C79AC">
            <w:pPr>
              <w:pStyle w:val="TableParagraph"/>
              <w:spacing w:before="3" w:line="258" w:lineRule="exact"/>
            </w:pPr>
            <w:r>
              <w:t>CIO : 20 000 $ à 30 000 $; CRSNG : 20 000 $ à</w:t>
            </w:r>
            <w:r w:rsidR="008C79AC">
              <w:t xml:space="preserve"> </w:t>
            </w:r>
            <w:r>
              <w:t>30 000 $</w:t>
            </w:r>
          </w:p>
        </w:tc>
      </w:tr>
      <w:tr w:rsidR="002C73B8" w14:paraId="19F8507C" w14:textId="77777777">
        <w:trPr>
          <w:trHeight w:val="529"/>
        </w:trPr>
        <w:tc>
          <w:tcPr>
            <w:tcW w:w="3737" w:type="dxa"/>
          </w:tcPr>
          <w:p w14:paraId="19F8507A" w14:textId="77777777" w:rsidR="002C73B8" w:rsidRDefault="00835DFA">
            <w:pPr>
              <w:pStyle w:val="TableParagraph"/>
              <w:spacing w:before="3"/>
              <w:ind w:left="13"/>
              <w:rPr>
                <w:b/>
              </w:rPr>
            </w:pPr>
            <w:r>
              <w:rPr>
                <w:b/>
              </w:rPr>
              <w:t>Contrepartie du partenaire industriel (minimum)</w:t>
            </w:r>
          </w:p>
        </w:tc>
        <w:tc>
          <w:tcPr>
            <w:tcW w:w="5604" w:type="dxa"/>
          </w:tcPr>
          <w:p w14:paraId="19F8507B" w14:textId="77777777" w:rsidR="002C73B8" w:rsidRDefault="00835DFA">
            <w:pPr>
              <w:pStyle w:val="TableParagraph"/>
              <w:spacing w:before="9" w:line="250" w:lineRule="exact"/>
              <w:ind w:right="733"/>
            </w:pPr>
            <w:r>
              <w:t>30 000 $ (au moins 50 % doivent être versés à l’établissement d’enseignement)</w:t>
            </w:r>
          </w:p>
        </w:tc>
      </w:tr>
      <w:tr w:rsidR="002C73B8" w14:paraId="19F8507F" w14:textId="77777777">
        <w:trPr>
          <w:trHeight w:val="263"/>
        </w:trPr>
        <w:tc>
          <w:tcPr>
            <w:tcW w:w="3737" w:type="dxa"/>
          </w:tcPr>
          <w:p w14:paraId="19F8507D" w14:textId="77777777" w:rsidR="002C73B8" w:rsidRDefault="00835DFA">
            <w:pPr>
              <w:pStyle w:val="TableParagraph"/>
              <w:spacing w:line="243" w:lineRule="exact"/>
              <w:ind w:left="13"/>
              <w:rPr>
                <w:b/>
              </w:rPr>
            </w:pPr>
            <w:r>
              <w:rPr>
                <w:b/>
              </w:rPr>
              <w:t>Durée maximale du projet</w:t>
            </w:r>
          </w:p>
        </w:tc>
        <w:tc>
          <w:tcPr>
            <w:tcW w:w="5604" w:type="dxa"/>
          </w:tcPr>
          <w:p w14:paraId="19F8507E" w14:textId="77777777" w:rsidR="002C73B8" w:rsidRDefault="00835DFA">
            <w:pPr>
              <w:pStyle w:val="TableParagraph"/>
              <w:spacing w:line="243" w:lineRule="exact"/>
            </w:pPr>
            <w:r>
              <w:t>12 mois</w:t>
            </w:r>
          </w:p>
        </w:tc>
      </w:tr>
      <w:tr w:rsidR="002C73B8" w14:paraId="19F85082" w14:textId="77777777">
        <w:trPr>
          <w:trHeight w:val="265"/>
        </w:trPr>
        <w:tc>
          <w:tcPr>
            <w:tcW w:w="3737" w:type="dxa"/>
          </w:tcPr>
          <w:p w14:paraId="19F85080" w14:textId="77777777" w:rsidR="002C73B8" w:rsidRDefault="00835DFA">
            <w:pPr>
              <w:pStyle w:val="TableParagraph"/>
              <w:spacing w:line="246" w:lineRule="exact"/>
              <w:ind w:left="13"/>
              <w:rPr>
                <w:b/>
              </w:rPr>
            </w:pPr>
            <w:r>
              <w:rPr>
                <w:b/>
              </w:rPr>
              <w:t>Secteur</w:t>
            </w:r>
          </w:p>
        </w:tc>
        <w:tc>
          <w:tcPr>
            <w:tcW w:w="5604" w:type="dxa"/>
          </w:tcPr>
          <w:p w14:paraId="19F85081" w14:textId="77777777" w:rsidR="002C73B8" w:rsidRDefault="00835DFA">
            <w:pPr>
              <w:pStyle w:val="TableParagraph"/>
              <w:spacing w:line="246" w:lineRule="exact"/>
            </w:pPr>
            <w:r>
              <w:t>Tous</w:t>
            </w:r>
          </w:p>
        </w:tc>
      </w:tr>
    </w:tbl>
    <w:p w14:paraId="19F85083" w14:textId="77777777" w:rsidR="002C73B8" w:rsidRDefault="002C73B8">
      <w:pPr>
        <w:pStyle w:val="BodyText"/>
        <w:spacing w:before="9"/>
        <w:rPr>
          <w:b/>
          <w:sz w:val="19"/>
        </w:rPr>
      </w:pPr>
    </w:p>
    <w:p w14:paraId="19F85084" w14:textId="77777777" w:rsidR="002C73B8" w:rsidRDefault="00835DFA">
      <w:pPr>
        <w:pStyle w:val="Heading2"/>
      </w:pPr>
      <w:bookmarkStart w:id="6" w:name="NSERC_‐_ARD"/>
      <w:bookmarkStart w:id="7" w:name="_bookmark4"/>
      <w:bookmarkEnd w:id="6"/>
      <w:bookmarkEnd w:id="7"/>
      <w:r>
        <w:rPr>
          <w:color w:val="1F487B"/>
        </w:rPr>
        <w:t>CRSNG – Subventions de RDA</w:t>
      </w:r>
    </w:p>
    <w:tbl>
      <w:tblPr>
        <w:tblStyle w:val="TableNormal1"/>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7"/>
        <w:gridCol w:w="5604"/>
      </w:tblGrid>
      <w:tr w:rsidR="002C73B8" w14:paraId="19F85087" w14:textId="77777777">
        <w:trPr>
          <w:trHeight w:val="265"/>
        </w:trPr>
        <w:tc>
          <w:tcPr>
            <w:tcW w:w="3737" w:type="dxa"/>
          </w:tcPr>
          <w:p w14:paraId="19F85085" w14:textId="77777777" w:rsidR="002C73B8" w:rsidRDefault="002C73B8">
            <w:pPr>
              <w:pStyle w:val="TableParagraph"/>
              <w:ind w:left="0"/>
              <w:rPr>
                <w:rFonts w:ascii="Times New Roman"/>
                <w:sz w:val="18"/>
              </w:rPr>
            </w:pPr>
          </w:p>
        </w:tc>
        <w:tc>
          <w:tcPr>
            <w:tcW w:w="5604" w:type="dxa"/>
          </w:tcPr>
          <w:p w14:paraId="19F85086" w14:textId="77777777" w:rsidR="002C73B8" w:rsidRDefault="00835DFA">
            <w:pPr>
              <w:pStyle w:val="TableParagraph"/>
              <w:spacing w:line="246" w:lineRule="exact"/>
              <w:rPr>
                <w:b/>
              </w:rPr>
            </w:pPr>
            <w:r>
              <w:rPr>
                <w:b/>
                <w:color w:val="1F487B"/>
              </w:rPr>
              <w:t>CRSNG – Subventions de RDA</w:t>
            </w:r>
          </w:p>
        </w:tc>
      </w:tr>
      <w:tr w:rsidR="002C73B8" w14:paraId="19F8508B" w14:textId="77777777" w:rsidTr="000D6ECC">
        <w:trPr>
          <w:trHeight w:val="340"/>
        </w:trPr>
        <w:tc>
          <w:tcPr>
            <w:tcW w:w="3737" w:type="dxa"/>
          </w:tcPr>
          <w:p w14:paraId="19F85088" w14:textId="77777777" w:rsidR="002C73B8" w:rsidRDefault="00835DFA">
            <w:pPr>
              <w:pStyle w:val="TableParagraph"/>
              <w:spacing w:before="1"/>
              <w:ind w:left="13"/>
              <w:rPr>
                <w:b/>
              </w:rPr>
            </w:pPr>
            <w:r>
              <w:rPr>
                <w:b/>
              </w:rPr>
              <w:t>Contribution</w:t>
            </w:r>
          </w:p>
        </w:tc>
        <w:tc>
          <w:tcPr>
            <w:tcW w:w="5604" w:type="dxa"/>
          </w:tcPr>
          <w:p w14:paraId="19F8508A" w14:textId="557CEE95" w:rsidR="002C73B8" w:rsidRDefault="00835DFA" w:rsidP="008C79AC">
            <w:pPr>
              <w:pStyle w:val="TableParagraph"/>
              <w:spacing w:before="1" w:line="260" w:lineRule="exact"/>
            </w:pPr>
            <w:r>
              <w:t>CIO : 20 000 $ à 30 000 $; CRSNG : 20 000 $ à</w:t>
            </w:r>
            <w:r w:rsidR="008C79AC">
              <w:t xml:space="preserve"> </w:t>
            </w:r>
            <w:r>
              <w:t>30 000 $</w:t>
            </w:r>
          </w:p>
        </w:tc>
      </w:tr>
      <w:tr w:rsidR="002C73B8" w14:paraId="19F8508E" w14:textId="77777777">
        <w:trPr>
          <w:trHeight w:val="536"/>
        </w:trPr>
        <w:tc>
          <w:tcPr>
            <w:tcW w:w="3737" w:type="dxa"/>
          </w:tcPr>
          <w:p w14:paraId="19F8508C" w14:textId="77777777" w:rsidR="002C73B8" w:rsidRDefault="00835DFA">
            <w:pPr>
              <w:pStyle w:val="TableParagraph"/>
              <w:spacing w:before="6"/>
              <w:ind w:left="13"/>
              <w:rPr>
                <w:b/>
              </w:rPr>
            </w:pPr>
            <w:r>
              <w:rPr>
                <w:b/>
              </w:rPr>
              <w:t>Contrepartie de la PME (minimum)</w:t>
            </w:r>
          </w:p>
        </w:tc>
        <w:tc>
          <w:tcPr>
            <w:tcW w:w="5604" w:type="dxa"/>
          </w:tcPr>
          <w:p w14:paraId="19F8508D" w14:textId="77777777" w:rsidR="002C73B8" w:rsidRDefault="00835DFA">
            <w:pPr>
              <w:pStyle w:val="TableParagraph"/>
              <w:spacing w:before="13" w:line="252" w:lineRule="exact"/>
              <w:ind w:right="729"/>
            </w:pPr>
            <w:r>
              <w:t>30 000 $ (au moins 50 % doivent être versés à l’établissement d’enseignement)</w:t>
            </w:r>
          </w:p>
        </w:tc>
      </w:tr>
    </w:tbl>
    <w:p w14:paraId="19F8508F" w14:textId="77777777" w:rsidR="002C73B8" w:rsidRDefault="002C73B8">
      <w:pPr>
        <w:spacing w:line="252" w:lineRule="exact"/>
        <w:sectPr w:rsidR="002C73B8">
          <w:pgSz w:w="12240" w:h="15840"/>
          <w:pgMar w:top="1560" w:right="1120" w:bottom="920" w:left="1140" w:header="293" w:footer="738" w:gutter="0"/>
          <w:cols w:space="720"/>
        </w:sectPr>
      </w:pPr>
    </w:p>
    <w:tbl>
      <w:tblPr>
        <w:tblStyle w:val="TableNormal1"/>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7"/>
        <w:gridCol w:w="5604"/>
      </w:tblGrid>
      <w:tr w:rsidR="002C73B8" w14:paraId="19F85094" w14:textId="77777777">
        <w:trPr>
          <w:trHeight w:val="263"/>
        </w:trPr>
        <w:tc>
          <w:tcPr>
            <w:tcW w:w="3737" w:type="dxa"/>
          </w:tcPr>
          <w:p w14:paraId="19F85092" w14:textId="77777777" w:rsidR="002C73B8" w:rsidRDefault="00835DFA">
            <w:pPr>
              <w:pStyle w:val="TableParagraph"/>
              <w:spacing w:line="243" w:lineRule="exact"/>
              <w:ind w:left="13"/>
              <w:rPr>
                <w:b/>
              </w:rPr>
            </w:pPr>
            <w:r>
              <w:rPr>
                <w:b/>
              </w:rPr>
              <w:lastRenderedPageBreak/>
              <w:t>Durée maximale du projet</w:t>
            </w:r>
          </w:p>
        </w:tc>
        <w:tc>
          <w:tcPr>
            <w:tcW w:w="5604" w:type="dxa"/>
          </w:tcPr>
          <w:p w14:paraId="19F85093" w14:textId="77777777" w:rsidR="002C73B8" w:rsidRDefault="00835DFA">
            <w:pPr>
              <w:pStyle w:val="TableParagraph"/>
              <w:spacing w:line="243" w:lineRule="exact"/>
            </w:pPr>
            <w:r>
              <w:t>12 mois</w:t>
            </w:r>
          </w:p>
        </w:tc>
      </w:tr>
      <w:tr w:rsidR="002C73B8" w14:paraId="19F85097" w14:textId="77777777">
        <w:trPr>
          <w:trHeight w:val="260"/>
        </w:trPr>
        <w:tc>
          <w:tcPr>
            <w:tcW w:w="3737" w:type="dxa"/>
          </w:tcPr>
          <w:p w14:paraId="19F85095" w14:textId="77777777" w:rsidR="002C73B8" w:rsidRDefault="00835DFA">
            <w:pPr>
              <w:pStyle w:val="TableParagraph"/>
              <w:spacing w:line="241" w:lineRule="exact"/>
              <w:ind w:left="13"/>
              <w:rPr>
                <w:b/>
              </w:rPr>
            </w:pPr>
            <w:r>
              <w:rPr>
                <w:b/>
              </w:rPr>
              <w:t>Secteur</w:t>
            </w:r>
          </w:p>
        </w:tc>
        <w:tc>
          <w:tcPr>
            <w:tcW w:w="5604" w:type="dxa"/>
          </w:tcPr>
          <w:p w14:paraId="19F85096" w14:textId="77777777" w:rsidR="002C73B8" w:rsidRDefault="00835DFA">
            <w:pPr>
              <w:pStyle w:val="TableParagraph"/>
              <w:spacing w:line="241" w:lineRule="exact"/>
            </w:pPr>
            <w:r>
              <w:t>Tous</w:t>
            </w:r>
          </w:p>
        </w:tc>
      </w:tr>
    </w:tbl>
    <w:p w14:paraId="19F85098" w14:textId="77777777" w:rsidR="002C73B8" w:rsidRPr="00B665BA" w:rsidRDefault="002C73B8">
      <w:pPr>
        <w:pStyle w:val="BodyText"/>
        <w:spacing w:before="5"/>
        <w:rPr>
          <w:b/>
          <w:sz w:val="10"/>
          <w:szCs w:val="10"/>
        </w:rPr>
      </w:pPr>
    </w:p>
    <w:p w14:paraId="19F85099" w14:textId="77777777" w:rsidR="002C73B8" w:rsidRDefault="00835DFA">
      <w:pPr>
        <w:pStyle w:val="Heading2"/>
        <w:spacing w:before="51" w:line="293" w:lineRule="exact"/>
      </w:pPr>
      <w:bookmarkStart w:id="8" w:name="Eligibility_Requirements"/>
      <w:bookmarkStart w:id="9" w:name="_bookmark5"/>
      <w:bookmarkEnd w:id="8"/>
      <w:bookmarkEnd w:id="9"/>
      <w:r>
        <w:rPr>
          <w:color w:val="1F487B"/>
        </w:rPr>
        <w:t>Critères d’admissibilité</w:t>
      </w:r>
    </w:p>
    <w:p w14:paraId="19F8509A" w14:textId="77777777" w:rsidR="002C73B8" w:rsidRPr="00817A57" w:rsidRDefault="00835DFA">
      <w:pPr>
        <w:pStyle w:val="BodyText"/>
        <w:ind w:left="302" w:right="780"/>
        <w:rPr>
          <w:sz w:val="20"/>
          <w:szCs w:val="20"/>
        </w:rPr>
      </w:pPr>
      <w:r w:rsidRPr="00817A57">
        <w:rPr>
          <w:sz w:val="20"/>
          <w:szCs w:val="20"/>
        </w:rPr>
        <w:t xml:space="preserve">Les conditions d’admissibilité de CPC sont énumérées sur la présente page. Veuillez consulter la </w:t>
      </w:r>
      <w:hyperlink r:id="rId12">
        <w:r w:rsidRPr="00817A57">
          <w:rPr>
            <w:color w:val="0000FF"/>
            <w:sz w:val="20"/>
            <w:szCs w:val="20"/>
            <w:u w:val="single" w:color="0000FF"/>
          </w:rPr>
          <w:t>liste des exigences d’admissibilité</w:t>
        </w:r>
      </w:hyperlink>
      <w:r w:rsidRPr="00817A57">
        <w:rPr>
          <w:color w:val="0000FF"/>
          <w:sz w:val="20"/>
          <w:szCs w:val="20"/>
        </w:rPr>
        <w:t xml:space="preserve"> </w:t>
      </w:r>
      <w:hyperlink r:id="rId13">
        <w:r w:rsidRPr="00817A57">
          <w:rPr>
            <w:color w:val="0000FF"/>
            <w:sz w:val="20"/>
            <w:szCs w:val="20"/>
            <w:u w:val="single" w:color="0000FF"/>
          </w:rPr>
          <w:t>supplémentaires</w:t>
        </w:r>
      </w:hyperlink>
      <w:r w:rsidRPr="00817A57">
        <w:rPr>
          <w:color w:val="0000FF"/>
          <w:sz w:val="20"/>
          <w:szCs w:val="20"/>
        </w:rPr>
        <w:t xml:space="preserve"> </w:t>
      </w:r>
      <w:r w:rsidRPr="00817A57">
        <w:rPr>
          <w:sz w:val="20"/>
          <w:szCs w:val="20"/>
        </w:rPr>
        <w:t>lorsque vous présentez une demande conjointe aux partenaires de cofinancement fédéraux.</w:t>
      </w:r>
    </w:p>
    <w:p w14:paraId="19F8509B" w14:textId="77777777" w:rsidR="002C73B8" w:rsidRDefault="002C73B8">
      <w:pPr>
        <w:pStyle w:val="BodyText"/>
        <w:spacing w:before="6"/>
        <w:rPr>
          <w:sz w:val="15"/>
        </w:rPr>
      </w:pPr>
    </w:p>
    <w:p w14:paraId="19F8509C" w14:textId="77777777" w:rsidR="002C73B8" w:rsidRDefault="00835DFA">
      <w:pPr>
        <w:pStyle w:val="Heading2"/>
        <w:spacing w:before="52"/>
      </w:pPr>
      <w:bookmarkStart w:id="10" w:name="Research_Partner"/>
      <w:bookmarkStart w:id="11" w:name="_bookmark6"/>
      <w:bookmarkEnd w:id="10"/>
      <w:bookmarkEnd w:id="11"/>
      <w:r>
        <w:rPr>
          <w:color w:val="1F487B"/>
        </w:rPr>
        <w:t>Partenaire de recherche</w:t>
      </w:r>
    </w:p>
    <w:p w14:paraId="19F8509D" w14:textId="77777777" w:rsidR="002C73B8" w:rsidRPr="00817A57" w:rsidRDefault="00835DFA" w:rsidP="005052DC">
      <w:pPr>
        <w:pStyle w:val="ListParagraph"/>
        <w:numPr>
          <w:ilvl w:val="0"/>
          <w:numId w:val="4"/>
        </w:numPr>
        <w:tabs>
          <w:tab w:val="left" w:pos="748"/>
          <w:tab w:val="left" w:pos="749"/>
        </w:tabs>
        <w:spacing w:before="19"/>
        <w:ind w:right="57" w:hanging="360"/>
        <w:rPr>
          <w:sz w:val="20"/>
          <w:szCs w:val="20"/>
        </w:rPr>
      </w:pPr>
      <w:r w:rsidRPr="00817A57">
        <w:rPr>
          <w:sz w:val="20"/>
          <w:szCs w:val="20"/>
        </w:rPr>
        <w:t>Chercheur principal d’une université ou d’un hôpital de recherche agréé de l’Ontario et financé par des fonds publics, ou agent de recherche appliquée d’un collège agréé de l’Ontario et financé par des fonds publics (les chercheurs principaux supplémentaires doivent être mentionnés comme membres de l’équipe dans la demande).</w:t>
      </w:r>
    </w:p>
    <w:p w14:paraId="19F8509E" w14:textId="77777777" w:rsidR="002C73B8" w:rsidRPr="00817A57" w:rsidRDefault="00835DFA" w:rsidP="005052DC">
      <w:pPr>
        <w:pStyle w:val="ListParagraph"/>
        <w:numPr>
          <w:ilvl w:val="0"/>
          <w:numId w:val="4"/>
        </w:numPr>
        <w:tabs>
          <w:tab w:val="left" w:pos="748"/>
          <w:tab w:val="left" w:pos="749"/>
        </w:tabs>
        <w:spacing w:before="15"/>
        <w:ind w:left="751" w:right="57" w:hanging="363"/>
        <w:rPr>
          <w:sz w:val="20"/>
          <w:szCs w:val="20"/>
        </w:rPr>
      </w:pPr>
      <w:r w:rsidRPr="00817A57">
        <w:rPr>
          <w:sz w:val="20"/>
          <w:szCs w:val="20"/>
        </w:rPr>
        <w:t>Les professeurs associés sont admissibles au cas par cas. Ceux-ci doivent au moins :</w:t>
      </w:r>
    </w:p>
    <w:p w14:paraId="19F8509F" w14:textId="77777777" w:rsidR="002C73B8" w:rsidRPr="00817A57" w:rsidRDefault="00835DFA" w:rsidP="005052DC">
      <w:pPr>
        <w:pStyle w:val="ListParagraph"/>
        <w:numPr>
          <w:ilvl w:val="1"/>
          <w:numId w:val="4"/>
        </w:numPr>
        <w:tabs>
          <w:tab w:val="left" w:pos="1541"/>
        </w:tabs>
        <w:spacing w:before="15"/>
        <w:ind w:right="57" w:hanging="361"/>
        <w:rPr>
          <w:sz w:val="20"/>
          <w:szCs w:val="20"/>
        </w:rPr>
      </w:pPr>
      <w:proofErr w:type="gramStart"/>
      <w:r w:rsidRPr="00817A57">
        <w:rPr>
          <w:sz w:val="20"/>
          <w:szCs w:val="20"/>
        </w:rPr>
        <w:t>mener</w:t>
      </w:r>
      <w:proofErr w:type="gramEnd"/>
      <w:r w:rsidRPr="00817A57">
        <w:rPr>
          <w:sz w:val="20"/>
          <w:szCs w:val="20"/>
        </w:rPr>
        <w:t xml:space="preserve"> activement des recherches dans un établissement de l’Ontario;</w:t>
      </w:r>
    </w:p>
    <w:p w14:paraId="19F850A0" w14:textId="77777777" w:rsidR="002C73B8" w:rsidRPr="00817A57" w:rsidRDefault="00835DFA" w:rsidP="005052DC">
      <w:pPr>
        <w:pStyle w:val="ListParagraph"/>
        <w:numPr>
          <w:ilvl w:val="1"/>
          <w:numId w:val="4"/>
        </w:numPr>
        <w:tabs>
          <w:tab w:val="left" w:pos="1541"/>
        </w:tabs>
        <w:spacing w:before="15"/>
        <w:ind w:right="57" w:hanging="361"/>
        <w:rPr>
          <w:sz w:val="20"/>
          <w:szCs w:val="20"/>
        </w:rPr>
      </w:pPr>
      <w:proofErr w:type="gramStart"/>
      <w:r w:rsidRPr="00817A57">
        <w:rPr>
          <w:sz w:val="20"/>
          <w:szCs w:val="20"/>
        </w:rPr>
        <w:t>être</w:t>
      </w:r>
      <w:proofErr w:type="gramEnd"/>
      <w:r w:rsidRPr="00817A57">
        <w:rPr>
          <w:sz w:val="20"/>
          <w:szCs w:val="20"/>
        </w:rPr>
        <w:t xml:space="preserve"> autorisés par leur établissement à percevoir une subvention et se voir attribuer un compte institutionnel;</w:t>
      </w:r>
    </w:p>
    <w:p w14:paraId="19F850A1" w14:textId="77777777" w:rsidR="002C73B8" w:rsidRPr="00817A57" w:rsidRDefault="00835DFA" w:rsidP="005052DC">
      <w:pPr>
        <w:pStyle w:val="ListParagraph"/>
        <w:numPr>
          <w:ilvl w:val="1"/>
          <w:numId w:val="4"/>
        </w:numPr>
        <w:tabs>
          <w:tab w:val="left" w:pos="1540"/>
        </w:tabs>
        <w:spacing w:before="15"/>
        <w:ind w:left="1539" w:right="57"/>
        <w:rPr>
          <w:sz w:val="20"/>
          <w:szCs w:val="20"/>
        </w:rPr>
      </w:pPr>
      <w:proofErr w:type="gramStart"/>
      <w:r w:rsidRPr="00817A57">
        <w:rPr>
          <w:sz w:val="20"/>
          <w:szCs w:val="20"/>
        </w:rPr>
        <w:t>être</w:t>
      </w:r>
      <w:proofErr w:type="gramEnd"/>
      <w:r w:rsidRPr="00817A57">
        <w:rPr>
          <w:sz w:val="20"/>
          <w:szCs w:val="20"/>
        </w:rPr>
        <w:t xml:space="preserve"> autorisés à superviser des étudiants.</w:t>
      </w:r>
    </w:p>
    <w:p w14:paraId="19F850A2" w14:textId="77777777" w:rsidR="002C73B8" w:rsidRPr="00817A57" w:rsidRDefault="00835DFA" w:rsidP="005052DC">
      <w:pPr>
        <w:pStyle w:val="ListParagraph"/>
        <w:numPr>
          <w:ilvl w:val="0"/>
          <w:numId w:val="4"/>
        </w:numPr>
        <w:tabs>
          <w:tab w:val="left" w:pos="748"/>
          <w:tab w:val="left" w:pos="749"/>
        </w:tabs>
        <w:spacing w:before="0"/>
        <w:ind w:left="748" w:right="57" w:hanging="361"/>
        <w:rPr>
          <w:sz w:val="20"/>
          <w:szCs w:val="20"/>
        </w:rPr>
      </w:pPr>
      <w:r w:rsidRPr="00817A57">
        <w:rPr>
          <w:sz w:val="20"/>
          <w:szCs w:val="20"/>
        </w:rPr>
        <w:t xml:space="preserve">Entretenir une </w:t>
      </w:r>
      <w:r w:rsidRPr="00817A57">
        <w:rPr>
          <w:b/>
          <w:sz w:val="20"/>
          <w:szCs w:val="20"/>
          <w:u w:val="single" w:color="4F82BC"/>
        </w:rPr>
        <w:t>relation sans lien de dépendance</w:t>
      </w:r>
      <w:r w:rsidRPr="00817A57">
        <w:rPr>
          <w:b/>
          <w:sz w:val="20"/>
          <w:szCs w:val="20"/>
        </w:rPr>
        <w:t xml:space="preserve"> </w:t>
      </w:r>
      <w:r w:rsidRPr="00817A57">
        <w:rPr>
          <w:sz w:val="20"/>
          <w:szCs w:val="20"/>
        </w:rPr>
        <w:t>avec le partenaire industriel.</w:t>
      </w:r>
    </w:p>
    <w:p w14:paraId="19F850A3" w14:textId="77777777" w:rsidR="002C73B8" w:rsidRPr="00817A57" w:rsidRDefault="00835DFA" w:rsidP="005052DC">
      <w:pPr>
        <w:pStyle w:val="ListParagraph"/>
        <w:numPr>
          <w:ilvl w:val="0"/>
          <w:numId w:val="4"/>
        </w:numPr>
        <w:tabs>
          <w:tab w:val="left" w:pos="748"/>
          <w:tab w:val="left" w:pos="749"/>
        </w:tabs>
        <w:spacing w:before="53"/>
        <w:ind w:left="748" w:right="57"/>
        <w:rPr>
          <w:sz w:val="20"/>
          <w:szCs w:val="20"/>
        </w:rPr>
      </w:pPr>
      <w:r w:rsidRPr="00817A57">
        <w:rPr>
          <w:sz w:val="20"/>
          <w:szCs w:val="20"/>
        </w:rPr>
        <w:t>Être en règle avec le CIO sur le plan financier et sur celui des rapports.</w:t>
      </w:r>
    </w:p>
    <w:p w14:paraId="19F850A4" w14:textId="77777777" w:rsidR="002C73B8" w:rsidRDefault="00835DFA" w:rsidP="005052DC">
      <w:pPr>
        <w:pStyle w:val="Heading2"/>
        <w:spacing w:before="241"/>
        <w:ind w:right="57"/>
      </w:pPr>
      <w:bookmarkStart w:id="12" w:name="SME_Project_Contributor"/>
      <w:bookmarkStart w:id="13" w:name="_bookmark7"/>
      <w:bookmarkEnd w:id="12"/>
      <w:bookmarkEnd w:id="13"/>
      <w:r>
        <w:rPr>
          <w:color w:val="1F487B"/>
        </w:rPr>
        <w:t>PME participante au projet</w:t>
      </w:r>
    </w:p>
    <w:p w14:paraId="19F850A5" w14:textId="77777777" w:rsidR="002C73B8" w:rsidRPr="00817A57" w:rsidRDefault="00835DFA" w:rsidP="005052DC">
      <w:pPr>
        <w:pStyle w:val="ListParagraph"/>
        <w:numPr>
          <w:ilvl w:val="0"/>
          <w:numId w:val="3"/>
        </w:numPr>
        <w:tabs>
          <w:tab w:val="left" w:pos="921"/>
          <w:tab w:val="left" w:pos="922"/>
        </w:tabs>
        <w:spacing w:before="21"/>
        <w:ind w:right="57" w:hanging="361"/>
        <w:rPr>
          <w:sz w:val="20"/>
          <w:szCs w:val="20"/>
        </w:rPr>
      </w:pPr>
      <w:r w:rsidRPr="00817A57">
        <w:rPr>
          <w:sz w:val="20"/>
          <w:szCs w:val="20"/>
        </w:rPr>
        <w:t>Le financement du programme CPC est axé sur le soutien des petites et moyennes entreprises (PME).</w:t>
      </w:r>
    </w:p>
    <w:p w14:paraId="19F850A6" w14:textId="684190E2" w:rsidR="002C73B8" w:rsidRPr="00817A57" w:rsidRDefault="00835DFA" w:rsidP="005052DC">
      <w:pPr>
        <w:pStyle w:val="ListParagraph"/>
        <w:numPr>
          <w:ilvl w:val="0"/>
          <w:numId w:val="3"/>
        </w:numPr>
        <w:tabs>
          <w:tab w:val="left" w:pos="921"/>
          <w:tab w:val="left" w:pos="922"/>
        </w:tabs>
        <w:spacing w:before="20"/>
        <w:ind w:right="57"/>
        <w:rPr>
          <w:sz w:val="20"/>
          <w:szCs w:val="20"/>
        </w:rPr>
      </w:pPr>
      <w:r w:rsidRPr="00817A57">
        <w:rPr>
          <w:sz w:val="20"/>
          <w:szCs w:val="20"/>
        </w:rPr>
        <w:t>Celles-ci doivent être des sociétés à but lucratif constituées en Ontario depuis au moins deux ans et posséder un</w:t>
      </w:r>
      <w:r w:rsidRPr="00817A57">
        <w:rPr>
          <w:color w:val="0000FF"/>
          <w:sz w:val="20"/>
          <w:szCs w:val="20"/>
        </w:rPr>
        <w:t xml:space="preserve"> </w:t>
      </w:r>
      <w:hyperlink r:id="rId14">
        <w:r w:rsidRPr="00817A57">
          <w:rPr>
            <w:color w:val="0000FF"/>
            <w:sz w:val="20"/>
            <w:szCs w:val="20"/>
            <w:u w:val="single" w:color="0000FF"/>
          </w:rPr>
          <w:t>numéro</w:t>
        </w:r>
      </w:hyperlink>
      <w:r w:rsidRPr="00817A57">
        <w:rPr>
          <w:color w:val="0000FF"/>
          <w:sz w:val="20"/>
          <w:szCs w:val="20"/>
        </w:rPr>
        <w:t xml:space="preserve"> </w:t>
      </w:r>
      <w:hyperlink r:id="rId15">
        <w:r w:rsidRPr="00817A57">
          <w:rPr>
            <w:color w:val="0000FF"/>
            <w:sz w:val="20"/>
            <w:szCs w:val="20"/>
            <w:u w:val="single" w:color="0000FF"/>
          </w:rPr>
          <w:t>d’entreprise valide de l’ARC</w:t>
        </w:r>
      </w:hyperlink>
      <w:r w:rsidRPr="00817A57">
        <w:rPr>
          <w:sz w:val="20"/>
          <w:szCs w:val="20"/>
        </w:rPr>
        <w:t>; disposer d’un effectif d’au moins cinq équivalents temps plein (ETP) en Ontario; utiliser ou concevoir des innovations technologiques ou des processus novateurs afin de posséder un avantage concurrentiel sur les marchés provinciaux, nationaux ou mondiaux.</w:t>
      </w:r>
    </w:p>
    <w:p w14:paraId="19F850A7" w14:textId="77777777" w:rsidR="002C73B8" w:rsidRPr="00817A57" w:rsidRDefault="00835DFA" w:rsidP="005052DC">
      <w:pPr>
        <w:pStyle w:val="ListParagraph"/>
        <w:numPr>
          <w:ilvl w:val="0"/>
          <w:numId w:val="3"/>
        </w:numPr>
        <w:tabs>
          <w:tab w:val="left" w:pos="921"/>
          <w:tab w:val="left" w:pos="922"/>
        </w:tabs>
        <w:ind w:right="57" w:hanging="363"/>
        <w:rPr>
          <w:sz w:val="20"/>
          <w:szCs w:val="20"/>
        </w:rPr>
      </w:pPr>
      <w:r w:rsidRPr="00817A57">
        <w:rPr>
          <w:sz w:val="20"/>
          <w:szCs w:val="20"/>
        </w:rPr>
        <w:t>Exercer des activités (production ou R-D) en Ontario liées au projet;</w:t>
      </w:r>
    </w:p>
    <w:p w14:paraId="19F850A8" w14:textId="1869F252" w:rsidR="002C73B8" w:rsidRPr="00817A57" w:rsidRDefault="00F90054" w:rsidP="005052DC">
      <w:pPr>
        <w:pStyle w:val="ListParagraph"/>
        <w:numPr>
          <w:ilvl w:val="0"/>
          <w:numId w:val="3"/>
        </w:numPr>
        <w:tabs>
          <w:tab w:val="left" w:pos="921"/>
          <w:tab w:val="left" w:pos="922"/>
        </w:tabs>
        <w:spacing w:before="10" w:line="232" w:lineRule="auto"/>
        <w:ind w:left="922" w:right="57" w:hanging="362"/>
        <w:rPr>
          <w:sz w:val="20"/>
          <w:szCs w:val="20"/>
        </w:rPr>
      </w:pPr>
      <w:r w:rsidRPr="00817A57">
        <w:rPr>
          <w:sz w:val="20"/>
          <w:szCs w:val="20"/>
        </w:rPr>
        <w:t>A</w:t>
      </w:r>
      <w:r w:rsidR="00835DFA" w:rsidRPr="00817A57">
        <w:rPr>
          <w:sz w:val="20"/>
          <w:szCs w:val="20"/>
        </w:rPr>
        <w:t>voir l’intention et le potentiel d’appliquer, d’exploiter ou de commercialiser les résultats du projet pour le bien économique de l’Ontario;</w:t>
      </w:r>
    </w:p>
    <w:p w14:paraId="19F850A9" w14:textId="18A637FB" w:rsidR="002C73B8" w:rsidRPr="00817A57" w:rsidRDefault="00F90054" w:rsidP="005052DC">
      <w:pPr>
        <w:pStyle w:val="ListParagraph"/>
        <w:numPr>
          <w:ilvl w:val="0"/>
          <w:numId w:val="3"/>
        </w:numPr>
        <w:tabs>
          <w:tab w:val="left" w:pos="921"/>
          <w:tab w:val="left" w:pos="922"/>
        </w:tabs>
        <w:spacing w:before="3"/>
        <w:ind w:left="922" w:right="57" w:hanging="361"/>
        <w:rPr>
          <w:sz w:val="20"/>
          <w:szCs w:val="20"/>
        </w:rPr>
      </w:pPr>
      <w:r w:rsidRPr="00817A57">
        <w:rPr>
          <w:sz w:val="20"/>
          <w:szCs w:val="20"/>
        </w:rPr>
        <w:t>D</w:t>
      </w:r>
      <w:r w:rsidR="00835DFA" w:rsidRPr="00817A57">
        <w:rPr>
          <w:sz w:val="20"/>
          <w:szCs w:val="20"/>
        </w:rPr>
        <w:t>isposer de l’expertise et des ressources nécessaires pour mettre en œuvre le projet dans un délai approprié.</w:t>
      </w:r>
    </w:p>
    <w:p w14:paraId="19F850AA" w14:textId="77777777" w:rsidR="002C73B8" w:rsidRPr="00817A57" w:rsidRDefault="00835DFA" w:rsidP="005052DC">
      <w:pPr>
        <w:pStyle w:val="ListParagraph"/>
        <w:numPr>
          <w:ilvl w:val="0"/>
          <w:numId w:val="3"/>
        </w:numPr>
        <w:tabs>
          <w:tab w:val="left" w:pos="921"/>
          <w:tab w:val="left" w:pos="922"/>
        </w:tabs>
        <w:spacing w:line="242" w:lineRule="auto"/>
        <w:ind w:right="57"/>
        <w:rPr>
          <w:sz w:val="20"/>
          <w:szCs w:val="20"/>
        </w:rPr>
      </w:pPr>
      <w:r w:rsidRPr="00817A57">
        <w:rPr>
          <w:sz w:val="20"/>
          <w:szCs w:val="20"/>
        </w:rPr>
        <w:t>Les filiales de sociétés (organismes dont le siège social est situé à l’extérieur de l’Ontario) sont admissibles, à condition que les activités en Ontario répondent à tous les critères ci-dessus.</w:t>
      </w:r>
    </w:p>
    <w:p w14:paraId="19F850AB" w14:textId="77777777" w:rsidR="002C73B8" w:rsidRPr="00817A57" w:rsidRDefault="00835DFA" w:rsidP="005052DC">
      <w:pPr>
        <w:pStyle w:val="ListParagraph"/>
        <w:numPr>
          <w:ilvl w:val="0"/>
          <w:numId w:val="3"/>
        </w:numPr>
        <w:tabs>
          <w:tab w:val="left" w:pos="921"/>
          <w:tab w:val="left" w:pos="922"/>
        </w:tabs>
        <w:spacing w:before="0" w:line="279" w:lineRule="exact"/>
        <w:ind w:right="57" w:hanging="363"/>
        <w:rPr>
          <w:sz w:val="20"/>
          <w:szCs w:val="20"/>
        </w:rPr>
      </w:pPr>
      <w:r w:rsidRPr="00817A57">
        <w:rPr>
          <w:sz w:val="20"/>
          <w:szCs w:val="20"/>
        </w:rPr>
        <w:t>Elles doivent être en règle avec le CIO sur le plan financier et sur celui des rapports.</w:t>
      </w:r>
    </w:p>
    <w:p w14:paraId="19F850AC" w14:textId="77777777" w:rsidR="002C73B8" w:rsidRDefault="00835DFA" w:rsidP="005052DC">
      <w:pPr>
        <w:pStyle w:val="ListParagraph"/>
        <w:numPr>
          <w:ilvl w:val="0"/>
          <w:numId w:val="3"/>
        </w:numPr>
        <w:tabs>
          <w:tab w:val="left" w:pos="921"/>
          <w:tab w:val="left" w:pos="922"/>
        </w:tabs>
        <w:spacing w:before="0" w:line="279" w:lineRule="exact"/>
        <w:ind w:right="57" w:hanging="363"/>
        <w:rPr>
          <w:sz w:val="20"/>
          <w:szCs w:val="20"/>
        </w:rPr>
      </w:pPr>
      <w:bookmarkStart w:id="14" w:name="Project"/>
      <w:bookmarkStart w:id="15" w:name="_bookmark8"/>
      <w:bookmarkEnd w:id="14"/>
      <w:bookmarkEnd w:id="15"/>
      <w:r w:rsidRPr="00817A57">
        <w:rPr>
          <w:sz w:val="20"/>
          <w:szCs w:val="20"/>
        </w:rPr>
        <w:t>Pour en savoir plus sur la limite de financement à vie du CIO,</w:t>
      </w:r>
      <w:r w:rsidRPr="00817A57">
        <w:rPr>
          <w:color w:val="0000FF"/>
          <w:sz w:val="20"/>
          <w:szCs w:val="20"/>
        </w:rPr>
        <w:t xml:space="preserve"> </w:t>
      </w:r>
      <w:hyperlink r:id="rId16">
        <w:r w:rsidRPr="00817A57">
          <w:rPr>
            <w:color w:val="0000FF"/>
            <w:sz w:val="20"/>
            <w:szCs w:val="20"/>
            <w:u w:val="single" w:color="0000FF"/>
          </w:rPr>
          <w:t>veuillez consulter ce lien</w:t>
        </w:r>
      </w:hyperlink>
      <w:r w:rsidRPr="00817A57">
        <w:rPr>
          <w:sz w:val="20"/>
          <w:szCs w:val="20"/>
        </w:rPr>
        <w:t>.</w:t>
      </w:r>
    </w:p>
    <w:p w14:paraId="08E9A678" w14:textId="0480B0CE" w:rsidR="005052DC" w:rsidRPr="005646F2" w:rsidRDefault="009A0881" w:rsidP="005052DC">
      <w:pPr>
        <w:pStyle w:val="ListParagraph"/>
        <w:numPr>
          <w:ilvl w:val="0"/>
          <w:numId w:val="3"/>
        </w:numPr>
        <w:tabs>
          <w:tab w:val="left" w:pos="921"/>
          <w:tab w:val="left" w:pos="922"/>
        </w:tabs>
        <w:spacing w:before="0" w:line="279" w:lineRule="exact"/>
        <w:ind w:right="57" w:hanging="363"/>
        <w:rPr>
          <w:sz w:val="20"/>
          <w:szCs w:val="20"/>
        </w:rPr>
      </w:pPr>
      <w:r w:rsidRPr="005646F2">
        <w:rPr>
          <w:sz w:val="20"/>
          <w:szCs w:val="20"/>
        </w:rPr>
        <w:t xml:space="preserve">Les entreprises qui ont des projets actifs </w:t>
      </w:r>
      <w:r w:rsidR="001257C4" w:rsidRPr="005646F2">
        <w:rPr>
          <w:sz w:val="20"/>
          <w:szCs w:val="20"/>
        </w:rPr>
        <w:t xml:space="preserve">pour lesquels elles ont obtenu </w:t>
      </w:r>
      <w:r w:rsidRPr="005646F2">
        <w:rPr>
          <w:sz w:val="20"/>
          <w:szCs w:val="20"/>
        </w:rPr>
        <w:t>plus de 150</w:t>
      </w:r>
      <w:r w:rsidR="001257C4" w:rsidRPr="005646F2">
        <w:rPr>
          <w:sz w:val="20"/>
          <w:szCs w:val="20"/>
        </w:rPr>
        <w:t> </w:t>
      </w:r>
      <w:r w:rsidRPr="005646F2">
        <w:rPr>
          <w:sz w:val="20"/>
          <w:szCs w:val="20"/>
        </w:rPr>
        <w:t>000</w:t>
      </w:r>
      <w:r w:rsidR="001257C4" w:rsidRPr="005646F2">
        <w:rPr>
          <w:sz w:val="20"/>
          <w:szCs w:val="20"/>
        </w:rPr>
        <w:t> </w:t>
      </w:r>
      <w:r w:rsidRPr="005646F2">
        <w:rPr>
          <w:sz w:val="20"/>
          <w:szCs w:val="20"/>
        </w:rPr>
        <w:t>$ doivent les terminer (y compris produire tous les rapports finaux) avant que d’autres demandes de financement puissent être examinées par le CIO. Pour toute exception à cette règle, il faut obtenir l’autorisation écrite du gestionnaire et du responsable du programme, puis la soumettre à l’examen du v.-p., Développement commercial et du directeur, Collaborations en R-D et commercialisation avant d’amorcer le processus de présentation d’une demande. (P. ex., si une entreprise a pris de l’expansion, s’est développée considérablement et a atteint ses objectifs grâce aux fonds initiaux.)</w:t>
      </w:r>
    </w:p>
    <w:p w14:paraId="19F850AD" w14:textId="77777777" w:rsidR="002C73B8" w:rsidRPr="00B665BA" w:rsidRDefault="002C73B8" w:rsidP="005052DC">
      <w:pPr>
        <w:pStyle w:val="BodyText"/>
        <w:spacing w:before="1"/>
        <w:ind w:right="57"/>
        <w:rPr>
          <w:sz w:val="10"/>
          <w:szCs w:val="10"/>
        </w:rPr>
      </w:pPr>
    </w:p>
    <w:p w14:paraId="19F850AE" w14:textId="77777777" w:rsidR="002C73B8" w:rsidRDefault="00835DFA" w:rsidP="005052DC">
      <w:pPr>
        <w:pStyle w:val="Heading2"/>
        <w:spacing w:before="51"/>
        <w:ind w:left="151" w:right="57"/>
      </w:pPr>
      <w:r>
        <w:rPr>
          <w:color w:val="1F487B"/>
        </w:rPr>
        <w:t>Projet</w:t>
      </w:r>
    </w:p>
    <w:p w14:paraId="19F850AF" w14:textId="77777777" w:rsidR="002C73B8" w:rsidRPr="00817A57" w:rsidRDefault="00835DFA" w:rsidP="005052DC">
      <w:pPr>
        <w:pStyle w:val="ListParagraph"/>
        <w:numPr>
          <w:ilvl w:val="0"/>
          <w:numId w:val="3"/>
        </w:numPr>
        <w:tabs>
          <w:tab w:val="left" w:pos="921"/>
          <w:tab w:val="left" w:pos="922"/>
        </w:tabs>
        <w:spacing w:before="0"/>
        <w:ind w:left="922" w:right="57" w:hanging="362"/>
        <w:rPr>
          <w:sz w:val="20"/>
          <w:szCs w:val="20"/>
        </w:rPr>
      </w:pPr>
      <w:r w:rsidRPr="00817A57">
        <w:rPr>
          <w:sz w:val="20"/>
          <w:szCs w:val="20"/>
        </w:rPr>
        <w:t>Le projet tire parti des capacités uniques de l’environnement de recherche et de l’équipe de recherche de l’établissement d’enseignement postsecondaire, et n’est pas concurrentiel par rapport aux capacités du secteur privé de l’Ontario.</w:t>
      </w:r>
    </w:p>
    <w:p w14:paraId="19F850B0" w14:textId="77777777" w:rsidR="002C73B8" w:rsidRPr="00817A57" w:rsidRDefault="00835DFA" w:rsidP="005052DC">
      <w:pPr>
        <w:pStyle w:val="ListParagraph"/>
        <w:numPr>
          <w:ilvl w:val="0"/>
          <w:numId w:val="3"/>
        </w:numPr>
        <w:tabs>
          <w:tab w:val="left" w:pos="921"/>
          <w:tab w:val="left" w:pos="922"/>
        </w:tabs>
        <w:ind w:right="57"/>
        <w:rPr>
          <w:sz w:val="20"/>
          <w:szCs w:val="20"/>
        </w:rPr>
      </w:pPr>
      <w:r w:rsidRPr="00817A57">
        <w:rPr>
          <w:sz w:val="20"/>
          <w:szCs w:val="20"/>
        </w:rPr>
        <w:t>La propriété intellectuelle (PI) découlant du projet sera gérée par les participants au projet, car le CIO ne revendique ni ne gère les droits de PI. (Remarque : les partenaires de cofinancement peuvent avoir des politiques différentes en matière de PI; veuillez donc consulter leurs lignes directrices pour plus de détails).</w:t>
      </w:r>
    </w:p>
    <w:p w14:paraId="19F850B4" w14:textId="77777777" w:rsidR="002C73B8" w:rsidRDefault="002C73B8">
      <w:pPr>
        <w:spacing w:line="249" w:lineRule="auto"/>
        <w:sectPr w:rsidR="002C73B8">
          <w:pgSz w:w="12240" w:h="15840"/>
          <w:pgMar w:top="1560" w:right="1120" w:bottom="920" w:left="1140" w:header="293" w:footer="738" w:gutter="0"/>
          <w:cols w:space="720"/>
        </w:sectPr>
      </w:pPr>
    </w:p>
    <w:p w14:paraId="3C81B54A" w14:textId="77777777" w:rsidR="00DC6719" w:rsidRPr="00817A57" w:rsidRDefault="00DC6719" w:rsidP="00DC6719">
      <w:pPr>
        <w:pStyle w:val="ListParagraph"/>
        <w:numPr>
          <w:ilvl w:val="0"/>
          <w:numId w:val="3"/>
        </w:numPr>
        <w:tabs>
          <w:tab w:val="left" w:pos="921"/>
          <w:tab w:val="left" w:pos="922"/>
        </w:tabs>
        <w:ind w:right="57" w:hanging="363"/>
        <w:rPr>
          <w:sz w:val="20"/>
          <w:szCs w:val="20"/>
        </w:rPr>
      </w:pPr>
      <w:r w:rsidRPr="00817A57">
        <w:rPr>
          <w:sz w:val="20"/>
          <w:szCs w:val="20"/>
        </w:rPr>
        <w:lastRenderedPageBreak/>
        <w:t>Tous les participants doivent collaborer pour fournir les résultats et les paramètres du projet dans les rapports requis.</w:t>
      </w:r>
    </w:p>
    <w:p w14:paraId="19F850B7" w14:textId="31E26E11" w:rsidR="002C73B8" w:rsidRPr="00817A57" w:rsidRDefault="00817A57" w:rsidP="00817A57">
      <w:pPr>
        <w:pStyle w:val="ListParagraph"/>
        <w:numPr>
          <w:ilvl w:val="0"/>
          <w:numId w:val="3"/>
        </w:numPr>
        <w:tabs>
          <w:tab w:val="left" w:pos="921"/>
          <w:tab w:val="left" w:pos="922"/>
        </w:tabs>
        <w:spacing w:before="0" w:line="249" w:lineRule="auto"/>
        <w:ind w:right="119" w:hanging="363"/>
        <w:rPr>
          <w:sz w:val="20"/>
          <w:szCs w:val="20"/>
        </w:rPr>
      </w:pPr>
      <w:r w:rsidRPr="00817A57">
        <w:rPr>
          <w:sz w:val="20"/>
          <w:szCs w:val="20"/>
        </w:rPr>
        <w:t xml:space="preserve">Les partenaires industriels doivent être en mesure de commercialiser les résultats de la recherche au plus tard </w:t>
      </w:r>
      <w:r w:rsidR="005445D2">
        <w:rPr>
          <w:sz w:val="20"/>
          <w:szCs w:val="20"/>
        </w:rPr>
        <w:t>trois</w:t>
      </w:r>
      <w:r w:rsidRPr="00817A57">
        <w:rPr>
          <w:sz w:val="20"/>
          <w:szCs w:val="20"/>
        </w:rPr>
        <w:t xml:space="preserve"> ans après la fin du projet. Les projets qui requièrent des essais sur des animaux dépassent souvent l’horizon de commercialisation </w:t>
      </w:r>
      <w:r w:rsidR="00835DFA" w:rsidRPr="00817A57">
        <w:rPr>
          <w:sz w:val="20"/>
          <w:szCs w:val="20"/>
        </w:rPr>
        <w:t xml:space="preserve">du programme. Veuillez consulter </w:t>
      </w:r>
      <w:r w:rsidR="00C40C78">
        <w:rPr>
          <w:sz w:val="20"/>
          <w:szCs w:val="20"/>
        </w:rPr>
        <w:t>v</w:t>
      </w:r>
      <w:r w:rsidR="00835DFA" w:rsidRPr="00817A57">
        <w:rPr>
          <w:sz w:val="20"/>
          <w:szCs w:val="20"/>
        </w:rPr>
        <w:t>otre gestionnaire de développement commercial si vos projets nécessitent des essais sur des animaux.</w:t>
      </w:r>
    </w:p>
    <w:p w14:paraId="19F850B8" w14:textId="78B82D5D" w:rsidR="002C73B8" w:rsidRPr="00817A57" w:rsidRDefault="00835DFA" w:rsidP="00817A57">
      <w:pPr>
        <w:pStyle w:val="ListParagraph"/>
        <w:numPr>
          <w:ilvl w:val="0"/>
          <w:numId w:val="3"/>
        </w:numPr>
        <w:tabs>
          <w:tab w:val="left" w:pos="921"/>
          <w:tab w:val="left" w:pos="922"/>
        </w:tabs>
        <w:spacing w:before="0" w:line="249" w:lineRule="auto"/>
        <w:ind w:right="119" w:hanging="363"/>
        <w:rPr>
          <w:sz w:val="20"/>
          <w:szCs w:val="20"/>
        </w:rPr>
      </w:pPr>
      <w:r w:rsidRPr="00817A57">
        <w:rPr>
          <w:sz w:val="20"/>
          <w:szCs w:val="20"/>
        </w:rPr>
        <w:t xml:space="preserve">Veuillez consulter la </w:t>
      </w:r>
      <w:hyperlink r:id="rId17">
        <w:r w:rsidRPr="00817A57">
          <w:rPr>
            <w:color w:val="0000FF"/>
            <w:sz w:val="20"/>
            <w:szCs w:val="20"/>
            <w:u w:val="single" w:color="0000FF"/>
          </w:rPr>
          <w:t>page Web du programme CPC pour obtenir un</w:t>
        </w:r>
        <w:r w:rsidR="00825E62">
          <w:rPr>
            <w:color w:val="0000FF"/>
            <w:sz w:val="20"/>
            <w:szCs w:val="20"/>
            <w:u w:val="single" w:color="0000FF"/>
          </w:rPr>
          <w:t>e copie</w:t>
        </w:r>
        <w:r w:rsidRPr="00817A57">
          <w:rPr>
            <w:color w:val="0000FF"/>
            <w:sz w:val="20"/>
            <w:szCs w:val="20"/>
            <w:u w:val="single" w:color="0000FF"/>
          </w:rPr>
          <w:t xml:space="preserve"> du guide des dépenses admissibles</w:t>
        </w:r>
      </w:hyperlink>
      <w:r w:rsidRPr="00817A57">
        <w:rPr>
          <w:sz w:val="20"/>
          <w:szCs w:val="20"/>
        </w:rPr>
        <w:t>.</w:t>
      </w:r>
    </w:p>
    <w:p w14:paraId="19F850B9" w14:textId="77777777" w:rsidR="002C73B8" w:rsidRPr="00DC6719" w:rsidRDefault="002C73B8">
      <w:pPr>
        <w:pStyle w:val="BodyText"/>
        <w:rPr>
          <w:sz w:val="10"/>
          <w:szCs w:val="10"/>
        </w:rPr>
      </w:pPr>
    </w:p>
    <w:p w14:paraId="19F850BB" w14:textId="77777777" w:rsidR="002C73B8" w:rsidRDefault="00835DFA">
      <w:pPr>
        <w:pStyle w:val="Heading1"/>
        <w:spacing w:before="19"/>
      </w:pPr>
      <w:bookmarkStart w:id="16" w:name="C2C_Partnered_Project_Eligibility,_NSERC"/>
      <w:bookmarkStart w:id="17" w:name="_bookmark9"/>
      <w:bookmarkEnd w:id="16"/>
      <w:bookmarkEnd w:id="17"/>
      <w:r>
        <w:rPr>
          <w:color w:val="E14E35"/>
        </w:rPr>
        <w:t>Admissibilité des projets en partenariat de CPC : CRSNG</w:t>
      </w:r>
    </w:p>
    <w:p w14:paraId="19F850BC" w14:textId="77777777" w:rsidR="002C73B8" w:rsidRDefault="00835DFA">
      <w:pPr>
        <w:pStyle w:val="Heading2"/>
        <w:spacing w:before="238"/>
      </w:pPr>
      <w:bookmarkStart w:id="18" w:name="NSERC_Alliance_Eligibility"/>
      <w:bookmarkStart w:id="19" w:name="_bookmark10"/>
      <w:bookmarkEnd w:id="18"/>
      <w:bookmarkEnd w:id="19"/>
      <w:r>
        <w:rPr>
          <w:color w:val="1F487B"/>
        </w:rPr>
        <w:t>Admissibilité aux subventions Alliance du CRSNG</w:t>
      </w:r>
    </w:p>
    <w:p w14:paraId="19F850BD" w14:textId="77777777" w:rsidR="002C73B8" w:rsidRDefault="00835DFA">
      <w:pPr>
        <w:pStyle w:val="Heading3"/>
        <w:spacing w:before="120"/>
      </w:pPr>
      <w:r>
        <w:t>Demandeur</w:t>
      </w:r>
    </w:p>
    <w:p w14:paraId="19F850BE" w14:textId="77777777" w:rsidR="002C73B8" w:rsidRPr="00817A57" w:rsidRDefault="00835DFA">
      <w:pPr>
        <w:pStyle w:val="ListParagraph"/>
        <w:numPr>
          <w:ilvl w:val="0"/>
          <w:numId w:val="3"/>
        </w:numPr>
        <w:tabs>
          <w:tab w:val="left" w:pos="921"/>
          <w:tab w:val="left" w:pos="922"/>
        </w:tabs>
        <w:spacing w:before="0"/>
        <w:ind w:hanging="363"/>
        <w:rPr>
          <w:sz w:val="20"/>
          <w:szCs w:val="20"/>
        </w:rPr>
      </w:pPr>
      <w:r w:rsidRPr="00817A57">
        <w:rPr>
          <w:sz w:val="20"/>
          <w:szCs w:val="20"/>
        </w:rPr>
        <w:t>Demandeur du programme de subventions Alliance du CRSNG.</w:t>
      </w:r>
    </w:p>
    <w:p w14:paraId="19F850BF" w14:textId="77777777" w:rsidR="002C73B8" w:rsidRPr="00817A57" w:rsidRDefault="00835DFA">
      <w:pPr>
        <w:pStyle w:val="ListParagraph"/>
        <w:numPr>
          <w:ilvl w:val="0"/>
          <w:numId w:val="3"/>
        </w:numPr>
        <w:tabs>
          <w:tab w:val="left" w:pos="921"/>
          <w:tab w:val="left" w:pos="922"/>
        </w:tabs>
        <w:ind w:hanging="363"/>
        <w:rPr>
          <w:sz w:val="20"/>
          <w:szCs w:val="20"/>
        </w:rPr>
      </w:pPr>
      <w:r w:rsidRPr="00817A57">
        <w:rPr>
          <w:sz w:val="20"/>
          <w:szCs w:val="20"/>
        </w:rPr>
        <w:t>Admissible à du financement des trois organismes.</w:t>
      </w:r>
    </w:p>
    <w:p w14:paraId="19F850C0" w14:textId="77777777" w:rsidR="002C73B8" w:rsidRPr="00817A57" w:rsidRDefault="00835DFA">
      <w:pPr>
        <w:pStyle w:val="ListParagraph"/>
        <w:numPr>
          <w:ilvl w:val="0"/>
          <w:numId w:val="3"/>
        </w:numPr>
        <w:tabs>
          <w:tab w:val="left" w:pos="921"/>
          <w:tab w:val="left" w:pos="922"/>
        </w:tabs>
        <w:spacing w:before="3"/>
        <w:ind w:hanging="363"/>
        <w:rPr>
          <w:sz w:val="20"/>
          <w:szCs w:val="20"/>
        </w:rPr>
      </w:pPr>
      <w:r w:rsidRPr="00817A57">
        <w:rPr>
          <w:sz w:val="20"/>
          <w:szCs w:val="20"/>
        </w:rPr>
        <w:t xml:space="preserve">Corps professoral d’une </w:t>
      </w:r>
      <w:r w:rsidRPr="00817A57">
        <w:rPr>
          <w:sz w:val="20"/>
          <w:szCs w:val="20"/>
          <w:u w:val="single"/>
        </w:rPr>
        <w:t>université</w:t>
      </w:r>
      <w:r w:rsidRPr="00817A57">
        <w:rPr>
          <w:sz w:val="20"/>
          <w:szCs w:val="20"/>
        </w:rPr>
        <w:t xml:space="preserve"> ontarienne admissible.</w:t>
      </w:r>
    </w:p>
    <w:p w14:paraId="19F850C1" w14:textId="7A448B4B" w:rsidR="002C73B8" w:rsidRPr="00817A57" w:rsidRDefault="0033364A">
      <w:pPr>
        <w:pStyle w:val="ListParagraph"/>
        <w:numPr>
          <w:ilvl w:val="0"/>
          <w:numId w:val="3"/>
        </w:numPr>
        <w:tabs>
          <w:tab w:val="left" w:pos="921"/>
          <w:tab w:val="left" w:pos="922"/>
        </w:tabs>
        <w:spacing w:before="0"/>
        <w:ind w:hanging="363"/>
        <w:rPr>
          <w:sz w:val="20"/>
          <w:szCs w:val="20"/>
        </w:rPr>
      </w:pPr>
      <w:r>
        <w:rPr>
          <w:noProof/>
          <w:sz w:val="20"/>
          <w:szCs w:val="20"/>
        </w:rPr>
        <mc:AlternateContent>
          <mc:Choice Requires="wps">
            <w:drawing>
              <wp:anchor distT="0" distB="0" distL="114300" distR="114300" simplePos="0" relativeHeight="251658240" behindDoc="0" locked="0" layoutInCell="1" allowOverlap="1" wp14:anchorId="19F85155" wp14:editId="571E099E">
                <wp:simplePos x="0" y="0"/>
                <wp:positionH relativeFrom="page">
                  <wp:posOffset>3494405</wp:posOffset>
                </wp:positionH>
                <wp:positionV relativeFrom="paragraph">
                  <wp:posOffset>154305</wp:posOffset>
                </wp:positionV>
                <wp:extent cx="34925" cy="0"/>
                <wp:effectExtent l="0" t="0" r="15875" b="12700"/>
                <wp:wrapNone/>
                <wp:docPr id="6662720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92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01221"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15pt,12.15pt" to="277.9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7IToQEAADEDAAAOAAAAZHJzL2Uyb0RvYy54bWysUk2P0zAQvSPxHyzfabKFBdZquoddlssC&#13;&#10;lRZ+wNR2GgvHY824Tfrvsb1t+bohchh5vl7mvZnV7Tx6cbDEDkMnrxatFDZoNC7sOvnt68Or91Jw&#13;&#10;gmDAY7CdPFqWt+uXL1ZTVHaJA3pjSWSQwGqKnRxSiqppWA92BF5gtCEne6QRUnZp1xiCKaOPvlm2&#13;&#10;7dtmQjKRUFvmHL1/Tsp1xe97q9OXvmebhO9kni1VS9Vui23WK1A7gjg4fRoD/mGKEVzIP71A3UMC&#13;&#10;sSf3F9ToNCFjnxYaxwb73mlbOWQ2V+0fbJ4GiLZyyeJwvMjE/w9Wfz7chQ2V0fUcnuIj6u+cRWmm&#13;&#10;yOqSLA7HDYnt9AlNXiPsE1a+c09jac5MxFxlPV5ktXMSOgdfv7lZXkuhz5kG1LktEqePFkdRHp30&#13;&#10;LhS+oODwyKmMAepcUsIBH5z3dWc+iCkfXPvu5rp2MHpnSrbUMe22d57EAcra61c2ndF+KyPcB1PR&#13;&#10;Bgvmw+mdwPnnd6734aRFoV+uitUWzXFDBa54eS8V+HRDZfG/+rXq56WvfwAAAP//AwBQSwMEFAAG&#13;&#10;AAgAAAAhAOGKj+rfAAAADgEAAA8AAABkcnMvZG93bnJldi54bWxMT81OwzAMviPxDpGRuLF0GwHW&#13;&#10;NZ0GExocGTxA1nhtReKUJtu6t5/RDnCxZfvz91MsBu/EAfvYBtIwHmUgkKpgW6o1fH2+3j2BiMmQ&#13;&#10;NS4QajhhhEV5fVWY3IYjfeBhk2rBJBRzo6FJqculjFWD3sRR6JD4tgu9N4nHvpa2N0cm905OsuxB&#13;&#10;etMSKzSmw5cGq+/N3mtYjt99VT8O7rRay/A2+1kH+zzV+vZmWM25LOcgEg7p7wN+M7B/KNnYNuzJ&#13;&#10;RuE0KJVNGaphcs+dAUopDrS9LGRZyP8xyjMAAAD//wMAUEsBAi0AFAAGAAgAAAAhALaDOJL+AAAA&#13;&#10;4QEAABMAAAAAAAAAAAAAAAAAAAAAAFtDb250ZW50X1R5cGVzXS54bWxQSwECLQAUAAYACAAAACEA&#13;&#10;OP0h/9YAAACUAQAACwAAAAAAAAAAAAAAAAAvAQAAX3JlbHMvLnJlbHNQSwECLQAUAAYACAAAACEA&#13;&#10;UqOyE6EBAAAxAwAADgAAAAAAAAAAAAAAAAAuAgAAZHJzL2Uyb0RvYy54bWxQSwECLQAUAAYACAAA&#13;&#10;ACEA4YqP6t8AAAAOAQAADwAAAAAAAAAAAAAAAAD7AwAAZHJzL2Rvd25yZXYueG1sUEsFBgAAAAAE&#13;&#10;AAQA8wAAAAcFAAAAAA==&#13;&#10;" strokeweight=".85pt">
                <o:lock v:ext="edit" shapetype="f"/>
                <w10:wrap anchorx="page"/>
              </v:line>
            </w:pict>
          </mc:Fallback>
        </mc:AlternateContent>
      </w:r>
      <w:r w:rsidR="00835DFA" w:rsidRPr="00817A57">
        <w:rPr>
          <w:sz w:val="20"/>
          <w:szCs w:val="20"/>
        </w:rPr>
        <w:t>Chercheurs universitaires détenant des subventions actives du CIO ou du CRSNG évaluées par les pairs.</w:t>
      </w:r>
    </w:p>
    <w:p w14:paraId="19F850C2" w14:textId="77777777" w:rsidR="002C73B8" w:rsidRPr="00817A57" w:rsidRDefault="00835DFA">
      <w:pPr>
        <w:pStyle w:val="ListParagraph"/>
        <w:numPr>
          <w:ilvl w:val="0"/>
          <w:numId w:val="3"/>
        </w:numPr>
        <w:tabs>
          <w:tab w:val="left" w:pos="922"/>
        </w:tabs>
        <w:ind w:right="813"/>
        <w:jc w:val="both"/>
        <w:rPr>
          <w:sz w:val="20"/>
          <w:szCs w:val="20"/>
        </w:rPr>
      </w:pPr>
      <w:r w:rsidRPr="00817A57">
        <w:rPr>
          <w:sz w:val="20"/>
          <w:szCs w:val="20"/>
        </w:rPr>
        <w:t>Les professeurs associés seront considérés au cas par cas. Ceux qui répondent aux critères d’admissibilité du CRSNG et dont le lieu d’emploi principal est une université canadienne admissible peuvent présenter une demande aux programmes de subventions du CRSNG.</w:t>
      </w:r>
    </w:p>
    <w:p w14:paraId="19F850C3" w14:textId="77777777" w:rsidR="002C73B8" w:rsidRDefault="00835DFA">
      <w:pPr>
        <w:pStyle w:val="Heading3"/>
        <w:spacing w:before="120" w:line="268" w:lineRule="exact"/>
        <w:jc w:val="both"/>
      </w:pPr>
      <w:r>
        <w:t>PME participante</w:t>
      </w:r>
    </w:p>
    <w:p w14:paraId="19F850C4" w14:textId="77777777" w:rsidR="002C73B8" w:rsidRPr="00817A57" w:rsidRDefault="00835DFA">
      <w:pPr>
        <w:pStyle w:val="ListParagraph"/>
        <w:numPr>
          <w:ilvl w:val="0"/>
          <w:numId w:val="3"/>
        </w:numPr>
        <w:tabs>
          <w:tab w:val="left" w:pos="921"/>
          <w:tab w:val="left" w:pos="922"/>
        </w:tabs>
        <w:spacing w:before="0"/>
        <w:ind w:right="415"/>
        <w:rPr>
          <w:sz w:val="20"/>
          <w:szCs w:val="20"/>
        </w:rPr>
      </w:pPr>
      <w:r w:rsidRPr="00817A57">
        <w:rPr>
          <w:sz w:val="20"/>
          <w:szCs w:val="20"/>
        </w:rPr>
        <w:t>PME à but lucratif, ayant des activités de R-D ou de fabrication au Canada directement liées au projet, ainsi que la capacité d’exploiter les résultats de la recherche.</w:t>
      </w:r>
    </w:p>
    <w:p w14:paraId="19F850C5" w14:textId="77777777" w:rsidR="002C73B8" w:rsidRPr="00817A57" w:rsidRDefault="00835DFA">
      <w:pPr>
        <w:pStyle w:val="ListParagraph"/>
        <w:numPr>
          <w:ilvl w:val="0"/>
          <w:numId w:val="3"/>
        </w:numPr>
        <w:tabs>
          <w:tab w:val="left" w:pos="921"/>
          <w:tab w:val="left" w:pos="922"/>
        </w:tabs>
        <w:spacing w:before="0"/>
        <w:ind w:right="667"/>
        <w:rPr>
          <w:sz w:val="20"/>
          <w:szCs w:val="20"/>
        </w:rPr>
      </w:pPr>
      <w:r w:rsidRPr="00817A57">
        <w:rPr>
          <w:sz w:val="20"/>
          <w:szCs w:val="20"/>
        </w:rPr>
        <w:t>Compte moins de 500 employés à temps plein à l’échelle mondiale et est en activité depuis au moins deux ans.</w:t>
      </w:r>
    </w:p>
    <w:p w14:paraId="19F850C6" w14:textId="77777777" w:rsidR="002C73B8" w:rsidRDefault="00835DFA">
      <w:pPr>
        <w:pStyle w:val="Heading3"/>
        <w:spacing w:before="121"/>
      </w:pPr>
      <w:r>
        <w:t>Projet/dépenses</w:t>
      </w:r>
    </w:p>
    <w:p w14:paraId="19F850C7" w14:textId="32A0ABF7" w:rsidR="002C73B8" w:rsidRPr="00817A57" w:rsidRDefault="0033364A">
      <w:pPr>
        <w:pStyle w:val="ListParagraph"/>
        <w:numPr>
          <w:ilvl w:val="0"/>
          <w:numId w:val="3"/>
        </w:numPr>
        <w:tabs>
          <w:tab w:val="left" w:pos="921"/>
          <w:tab w:val="left" w:pos="922"/>
        </w:tabs>
        <w:spacing w:before="51"/>
        <w:ind w:right="412"/>
        <w:rPr>
          <w:sz w:val="20"/>
          <w:szCs w:val="20"/>
        </w:rPr>
      </w:pPr>
      <w:r>
        <w:rPr>
          <w:noProof/>
          <w:sz w:val="20"/>
          <w:szCs w:val="20"/>
        </w:rPr>
        <mc:AlternateContent>
          <mc:Choice Requires="wps">
            <w:drawing>
              <wp:anchor distT="0" distB="0" distL="114300" distR="114300" simplePos="0" relativeHeight="251658242" behindDoc="1" locked="0" layoutInCell="1" allowOverlap="1" wp14:anchorId="19F85156" wp14:editId="3663DBC0">
                <wp:simplePos x="0" y="0"/>
                <wp:positionH relativeFrom="page">
                  <wp:posOffset>4735830</wp:posOffset>
                </wp:positionH>
                <wp:positionV relativeFrom="paragraph">
                  <wp:posOffset>186690</wp:posOffset>
                </wp:positionV>
                <wp:extent cx="34925" cy="0"/>
                <wp:effectExtent l="0" t="0" r="15875" b="12700"/>
                <wp:wrapNone/>
                <wp:docPr id="2721029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92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E134B" id="Line 3"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2.9pt,14.7pt" to="375.65pt,1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7IToQEAADEDAAAOAAAAZHJzL2Uyb0RvYy54bWysUk2P0zAQvSPxHyzfabKFBdZquoddlssC&#13;&#10;lRZ+wNR2GgvHY824Tfrvsb1t+bohchh5vl7mvZnV7Tx6cbDEDkMnrxatFDZoNC7sOvnt68Or91Jw&#13;&#10;gmDAY7CdPFqWt+uXL1ZTVHaJA3pjSWSQwGqKnRxSiqppWA92BF5gtCEne6QRUnZp1xiCKaOPvlm2&#13;&#10;7dtmQjKRUFvmHL1/Tsp1xe97q9OXvmebhO9kni1VS9Vui23WK1A7gjg4fRoD/mGKEVzIP71A3UMC&#13;&#10;sSf3F9ToNCFjnxYaxwb73mlbOWQ2V+0fbJ4GiLZyyeJwvMjE/w9Wfz7chQ2V0fUcnuIj6u+cRWmm&#13;&#10;yOqSLA7HDYnt9AlNXiPsE1a+c09jac5MxFxlPV5ktXMSOgdfv7lZXkuhz5kG1LktEqePFkdRHp30&#13;&#10;LhS+oODwyKmMAepcUsIBH5z3dWc+iCkfXPvu5rp2MHpnSrbUMe22d57EAcra61c2ndF+KyPcB1PR&#13;&#10;Bgvmw+mdwPnnd6734aRFoV+uitUWzXFDBa54eS8V+HRDZfG/+rXq56WvfwAAAP//AwBQSwMEFAAG&#13;&#10;AAgAAAAhAIyCe27hAAAADgEAAA8AAABkcnMvZG93bnJldi54bWxMj8tOwzAQRfdI/IM1SOyokz5I&#13;&#10;m8apChVqWVL6AW48JBH2OMRum/49g1jAZqR53XtusRqcFWfsQ+tJQTpKQCBV3rRUKzi8vzzMQYSo&#13;&#10;yWjrCRVcMcCqvL0pdG78hd7wvI+1YBEKuVbQxNjlUoaqQafDyHdIvPvwvdOR276WptcXFndWjpPk&#13;&#10;UTrdEjs0usPnBqvP/ckpWKevrqqzwV43W+l3i6+tN08Tpe7vhs2Sy3oJIuIQ/z7gJwPzQ8lgR38i&#13;&#10;E4RVkE1nzB8VjBdTEHyQzdIJiOPvQJaF/B+j/AYAAP//AwBQSwECLQAUAAYACAAAACEAtoM4kv4A&#13;&#10;AADhAQAAEwAAAAAAAAAAAAAAAAAAAAAAW0NvbnRlbnRfVHlwZXNdLnhtbFBLAQItABQABgAIAAAA&#13;&#10;IQA4/SH/1gAAAJQBAAALAAAAAAAAAAAAAAAAAC8BAABfcmVscy8ucmVsc1BLAQItABQABgAIAAAA&#13;&#10;IQBSo7IToQEAADEDAAAOAAAAAAAAAAAAAAAAAC4CAABkcnMvZTJvRG9jLnhtbFBLAQItABQABgAI&#13;&#10;AAAAIQCMgntu4QAAAA4BAAAPAAAAAAAAAAAAAAAAAPsDAABkcnMvZG93bnJldi54bWxQSwUGAAAA&#13;&#10;AAQABADzAAAACQUAAAAA&#13;&#10;" strokeweight=".85pt">
                <o:lock v:ext="edit" shapetype="f"/>
                <w10:wrap anchorx="page"/>
              </v:line>
            </w:pict>
          </mc:Fallback>
        </mc:AlternateContent>
      </w:r>
      <w:r w:rsidR="00835DFA" w:rsidRPr="00817A57">
        <w:rPr>
          <w:sz w:val="20"/>
          <w:szCs w:val="20"/>
        </w:rPr>
        <w:t>Jusqu’à 30 000 $ du programme de subventions Alliance du CRSNG, jusqu’à 30 000 $ du programme CPC du CIO et au moins 30 000 $ du partenaire industriel (au moins 50 % doivent être consacrés à l’établissement universitaire).</w:t>
      </w:r>
    </w:p>
    <w:p w14:paraId="19F850C8" w14:textId="04DA3CB4" w:rsidR="002C73B8" w:rsidRPr="00817A57" w:rsidRDefault="00835DFA">
      <w:pPr>
        <w:pStyle w:val="ListParagraph"/>
        <w:numPr>
          <w:ilvl w:val="0"/>
          <w:numId w:val="3"/>
        </w:numPr>
        <w:tabs>
          <w:tab w:val="left" w:pos="921"/>
          <w:tab w:val="left" w:pos="922"/>
        </w:tabs>
        <w:ind w:hanging="363"/>
        <w:rPr>
          <w:sz w:val="20"/>
          <w:szCs w:val="20"/>
        </w:rPr>
      </w:pPr>
      <w:r w:rsidRPr="00817A57">
        <w:rPr>
          <w:sz w:val="20"/>
          <w:szCs w:val="20"/>
        </w:rPr>
        <w:t>Durée du projet : jusqu’à 12 mois</w:t>
      </w:r>
      <w:r w:rsidR="00AA6BA3">
        <w:rPr>
          <w:sz w:val="20"/>
          <w:szCs w:val="20"/>
        </w:rPr>
        <w:t>.</w:t>
      </w:r>
    </w:p>
    <w:p w14:paraId="19F850C9" w14:textId="77777777" w:rsidR="002C73B8" w:rsidRPr="00817A57" w:rsidRDefault="00835DFA">
      <w:pPr>
        <w:pStyle w:val="ListParagraph"/>
        <w:numPr>
          <w:ilvl w:val="0"/>
          <w:numId w:val="3"/>
        </w:numPr>
        <w:tabs>
          <w:tab w:val="left" w:pos="921"/>
          <w:tab w:val="left" w:pos="922"/>
        </w:tabs>
        <w:spacing w:before="2" w:line="237" w:lineRule="auto"/>
        <w:ind w:right="577"/>
        <w:rPr>
          <w:sz w:val="20"/>
          <w:szCs w:val="20"/>
        </w:rPr>
      </w:pPr>
      <w:r w:rsidRPr="00817A57">
        <w:rPr>
          <w:sz w:val="20"/>
          <w:szCs w:val="20"/>
        </w:rPr>
        <w:t>Collaborations entre des PME et des universités pour des projets de R-D ayant un fort potentiel de développement économique régional et de commercialisation en Ontario.</w:t>
      </w:r>
    </w:p>
    <w:p w14:paraId="19F850CA" w14:textId="5B51D270" w:rsidR="002C73B8" w:rsidRPr="00817A57" w:rsidRDefault="00835DFA">
      <w:pPr>
        <w:pStyle w:val="ListParagraph"/>
        <w:numPr>
          <w:ilvl w:val="0"/>
          <w:numId w:val="3"/>
        </w:numPr>
        <w:tabs>
          <w:tab w:val="left" w:pos="921"/>
          <w:tab w:val="left" w:pos="922"/>
        </w:tabs>
        <w:spacing w:before="0" w:line="280" w:lineRule="exact"/>
        <w:ind w:hanging="363"/>
        <w:rPr>
          <w:sz w:val="20"/>
          <w:szCs w:val="20"/>
        </w:rPr>
      </w:pPr>
      <w:r w:rsidRPr="00817A57">
        <w:rPr>
          <w:sz w:val="20"/>
          <w:szCs w:val="20"/>
        </w:rPr>
        <w:t>Veuillez consulter l</w:t>
      </w:r>
      <w:r w:rsidR="00B250C9">
        <w:rPr>
          <w:sz w:val="20"/>
          <w:szCs w:val="20"/>
        </w:rPr>
        <w:t>a version intégrale d</w:t>
      </w:r>
      <w:r w:rsidRPr="00817A57">
        <w:rPr>
          <w:sz w:val="20"/>
          <w:szCs w:val="20"/>
        </w:rPr>
        <w:t>es</w:t>
      </w:r>
      <w:r w:rsidRPr="00817A57">
        <w:rPr>
          <w:color w:val="0000FF"/>
          <w:sz w:val="20"/>
          <w:szCs w:val="20"/>
        </w:rPr>
        <w:t xml:space="preserve"> </w:t>
      </w:r>
      <w:hyperlink r:id="rId18">
        <w:r w:rsidRPr="00817A57">
          <w:rPr>
            <w:color w:val="0000FF"/>
            <w:sz w:val="20"/>
            <w:szCs w:val="20"/>
            <w:u w:val="single" w:color="0000FF"/>
          </w:rPr>
          <w:t>lignes directrices du programme de subventions Alliance du CRSNG</w:t>
        </w:r>
      </w:hyperlink>
      <w:r w:rsidRPr="00817A57">
        <w:rPr>
          <w:color w:val="0000FF"/>
          <w:sz w:val="20"/>
          <w:szCs w:val="20"/>
        </w:rPr>
        <w:t xml:space="preserve"> </w:t>
      </w:r>
      <w:r w:rsidRPr="00817A57">
        <w:rPr>
          <w:sz w:val="20"/>
          <w:szCs w:val="20"/>
        </w:rPr>
        <w:t>pour connaître les critères d’admissibilité et obtenir des renseignements sur le programme.</w:t>
      </w:r>
    </w:p>
    <w:p w14:paraId="19F850CB" w14:textId="77777777" w:rsidR="002C73B8" w:rsidRPr="00DC6719" w:rsidRDefault="002C73B8">
      <w:pPr>
        <w:pStyle w:val="BodyText"/>
        <w:spacing w:before="6"/>
        <w:rPr>
          <w:sz w:val="10"/>
          <w:szCs w:val="10"/>
        </w:rPr>
      </w:pPr>
    </w:p>
    <w:p w14:paraId="19F850CC" w14:textId="77777777" w:rsidR="002C73B8" w:rsidRDefault="00835DFA">
      <w:pPr>
        <w:pStyle w:val="Heading2"/>
        <w:spacing w:before="52"/>
      </w:pPr>
      <w:r>
        <w:rPr>
          <w:color w:val="1F487B"/>
        </w:rPr>
        <w:t>Admissibilité des collèges aux subventions de RDA du CRSNG</w:t>
      </w:r>
    </w:p>
    <w:p w14:paraId="19F850CD" w14:textId="77777777" w:rsidR="002C73B8" w:rsidRDefault="00835DFA">
      <w:pPr>
        <w:pStyle w:val="Heading3"/>
      </w:pPr>
      <w:r>
        <w:t>Demandeur</w:t>
      </w:r>
    </w:p>
    <w:p w14:paraId="19F850CE" w14:textId="77777777" w:rsidR="002C73B8" w:rsidRPr="00817A57" w:rsidRDefault="00835DFA">
      <w:pPr>
        <w:pStyle w:val="ListParagraph"/>
        <w:numPr>
          <w:ilvl w:val="0"/>
          <w:numId w:val="3"/>
        </w:numPr>
        <w:tabs>
          <w:tab w:val="left" w:pos="921"/>
          <w:tab w:val="left" w:pos="922"/>
        </w:tabs>
        <w:spacing w:before="3"/>
        <w:ind w:hanging="363"/>
        <w:rPr>
          <w:sz w:val="20"/>
          <w:szCs w:val="20"/>
        </w:rPr>
      </w:pPr>
      <w:r w:rsidRPr="00817A57">
        <w:rPr>
          <w:sz w:val="20"/>
          <w:szCs w:val="20"/>
          <w:u w:val="single"/>
        </w:rPr>
        <w:t>Collège</w:t>
      </w:r>
      <w:r w:rsidRPr="00817A57">
        <w:rPr>
          <w:sz w:val="20"/>
          <w:szCs w:val="20"/>
        </w:rPr>
        <w:t xml:space="preserve"> de l’Ontario admissible à du financement des trois organismes.</w:t>
      </w:r>
    </w:p>
    <w:p w14:paraId="19F850CF" w14:textId="77777777" w:rsidR="002C73B8" w:rsidRDefault="00835DFA">
      <w:pPr>
        <w:pStyle w:val="Heading3"/>
        <w:spacing w:before="116"/>
      </w:pPr>
      <w:bookmarkStart w:id="20" w:name="SME_Contributor"/>
      <w:bookmarkEnd w:id="20"/>
      <w:r>
        <w:t>PME participante</w:t>
      </w:r>
    </w:p>
    <w:p w14:paraId="19F850D0" w14:textId="77777777" w:rsidR="002C73B8" w:rsidRPr="00817A57" w:rsidRDefault="00835DFA">
      <w:pPr>
        <w:pStyle w:val="ListParagraph"/>
        <w:numPr>
          <w:ilvl w:val="0"/>
          <w:numId w:val="3"/>
        </w:numPr>
        <w:tabs>
          <w:tab w:val="left" w:pos="921"/>
          <w:tab w:val="left" w:pos="922"/>
        </w:tabs>
        <w:spacing w:before="0"/>
        <w:ind w:left="922" w:right="335" w:hanging="361"/>
        <w:rPr>
          <w:sz w:val="20"/>
          <w:szCs w:val="20"/>
        </w:rPr>
      </w:pPr>
      <w:r w:rsidRPr="00817A57">
        <w:rPr>
          <w:sz w:val="20"/>
          <w:szCs w:val="20"/>
        </w:rPr>
        <w:t>PME à but lucratif, ayant des activités de R-D ou de fabrication au Canada directement liées au projet, ainsi que la capacité d’exploiter les résultats de la recherche.</w:t>
      </w:r>
    </w:p>
    <w:p w14:paraId="19F850D1" w14:textId="77777777" w:rsidR="002C73B8" w:rsidRPr="00817A57" w:rsidRDefault="00835DFA">
      <w:pPr>
        <w:pStyle w:val="ListParagraph"/>
        <w:numPr>
          <w:ilvl w:val="0"/>
          <w:numId w:val="3"/>
        </w:numPr>
        <w:tabs>
          <w:tab w:val="left" w:pos="921"/>
          <w:tab w:val="left" w:pos="922"/>
        </w:tabs>
        <w:ind w:hanging="363"/>
        <w:rPr>
          <w:sz w:val="20"/>
          <w:szCs w:val="20"/>
        </w:rPr>
      </w:pPr>
      <w:r w:rsidRPr="00817A57">
        <w:rPr>
          <w:sz w:val="20"/>
          <w:szCs w:val="20"/>
        </w:rPr>
        <w:t>Compte de 5 à 499 employés à temps plein et est en activité depuis au moins deux ans.</w:t>
      </w:r>
    </w:p>
    <w:p w14:paraId="19F850D2" w14:textId="35B10C21" w:rsidR="002C73B8" w:rsidRPr="00817A57" w:rsidRDefault="00835DFA">
      <w:pPr>
        <w:pStyle w:val="ListParagraph"/>
        <w:numPr>
          <w:ilvl w:val="0"/>
          <w:numId w:val="3"/>
        </w:numPr>
        <w:tabs>
          <w:tab w:val="left" w:pos="921"/>
          <w:tab w:val="left" w:pos="922"/>
        </w:tabs>
        <w:spacing w:before="0"/>
        <w:ind w:right="379"/>
        <w:rPr>
          <w:sz w:val="20"/>
          <w:szCs w:val="20"/>
        </w:rPr>
      </w:pPr>
      <w:r w:rsidRPr="00817A57">
        <w:rPr>
          <w:sz w:val="20"/>
          <w:szCs w:val="20"/>
        </w:rPr>
        <w:t>Les partenaires industriels sont limités à deux subventions de RDA par exercice financier (du 1</w:t>
      </w:r>
      <w:r w:rsidRPr="00817A57">
        <w:rPr>
          <w:sz w:val="20"/>
          <w:szCs w:val="20"/>
          <w:vertAlign w:val="superscript"/>
        </w:rPr>
        <w:t>er</w:t>
      </w:r>
      <w:r w:rsidRPr="00817A57">
        <w:rPr>
          <w:sz w:val="20"/>
          <w:szCs w:val="20"/>
        </w:rPr>
        <w:t> avril au 31</w:t>
      </w:r>
      <w:r w:rsidR="005D3017">
        <w:rPr>
          <w:sz w:val="20"/>
          <w:szCs w:val="20"/>
        </w:rPr>
        <w:t> </w:t>
      </w:r>
      <w:r w:rsidRPr="00817A57">
        <w:rPr>
          <w:sz w:val="20"/>
          <w:szCs w:val="20"/>
        </w:rPr>
        <w:t xml:space="preserve">mars; comprend la participation combinée de l’entreprise à la « subvention de RDA pour les universités » et à la « subvention de RDA pour les collèges » pendant l’année en question; comprend les projets du programme CPC-RDA et les projets de RDA autonomes). Les partenaires qui fournissent des contributions en espèces à des projets en cours financés par le CRSNG en dehors du programme RDA pourront toutefois présenter </w:t>
      </w:r>
      <w:bookmarkStart w:id="21" w:name="Project/Expenses"/>
      <w:bookmarkEnd w:id="21"/>
      <w:r w:rsidRPr="00817A57">
        <w:rPr>
          <w:sz w:val="20"/>
          <w:szCs w:val="20"/>
        </w:rPr>
        <w:t>jusqu’à deux demandes supplémentaires de RDA par année.</w:t>
      </w:r>
    </w:p>
    <w:p w14:paraId="19F850D4" w14:textId="77777777" w:rsidR="002C73B8" w:rsidRDefault="002C73B8">
      <w:pPr>
        <w:sectPr w:rsidR="002C73B8">
          <w:pgSz w:w="12240" w:h="15840"/>
          <w:pgMar w:top="1560" w:right="1120" w:bottom="920" w:left="1140" w:header="293" w:footer="738" w:gutter="0"/>
          <w:cols w:space="720"/>
        </w:sectPr>
      </w:pPr>
    </w:p>
    <w:p w14:paraId="7D8203F9" w14:textId="77777777" w:rsidR="008A487B" w:rsidRDefault="008A487B" w:rsidP="008A487B">
      <w:pPr>
        <w:pStyle w:val="Heading3"/>
      </w:pPr>
      <w:r>
        <w:lastRenderedPageBreak/>
        <w:t>Projet/dépenses</w:t>
      </w:r>
    </w:p>
    <w:p w14:paraId="19F850D6" w14:textId="58F1F5F9" w:rsidR="002C73B8" w:rsidRPr="008A487B" w:rsidRDefault="0033364A" w:rsidP="005D3017">
      <w:pPr>
        <w:pStyle w:val="ListParagraph"/>
        <w:numPr>
          <w:ilvl w:val="0"/>
          <w:numId w:val="3"/>
        </w:numPr>
        <w:tabs>
          <w:tab w:val="left" w:pos="921"/>
          <w:tab w:val="left" w:pos="922"/>
        </w:tabs>
        <w:spacing w:before="103" w:line="237" w:lineRule="auto"/>
        <w:ind w:left="920" w:right="199"/>
        <w:rPr>
          <w:sz w:val="20"/>
          <w:szCs w:val="20"/>
        </w:rPr>
      </w:pPr>
      <w:r>
        <w:rPr>
          <w:noProof/>
          <w:sz w:val="20"/>
          <w:szCs w:val="20"/>
        </w:rPr>
        <mc:AlternateContent>
          <mc:Choice Requires="wps">
            <w:drawing>
              <wp:anchor distT="0" distB="0" distL="114300" distR="114300" simplePos="0" relativeHeight="251658243" behindDoc="1" locked="0" layoutInCell="1" allowOverlap="1" wp14:anchorId="19F85157" wp14:editId="2FF21710">
                <wp:simplePos x="0" y="0"/>
                <wp:positionH relativeFrom="page">
                  <wp:posOffset>4253230</wp:posOffset>
                </wp:positionH>
                <wp:positionV relativeFrom="paragraph">
                  <wp:posOffset>216535</wp:posOffset>
                </wp:positionV>
                <wp:extent cx="35560" cy="0"/>
                <wp:effectExtent l="0" t="0" r="15240" b="12700"/>
                <wp:wrapNone/>
                <wp:docPr id="1069634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56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69B3D" id="Line 4"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4.9pt,17.05pt" to="337.7pt,1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qlJoQEAADEDAAAOAAAAZHJzL2Uyb0RvYy54bWysUk1v2zAMvQ/YfxB0X+x2SLcJcXpo1126&#13;&#10;LUC7H8BIcixMFgVSiZ1/P0lNsq/bMB8I8euZ75Gr23n04mCJHYZOXi1aKWzQaFzYdfLb88Ob91Jw&#13;&#10;gmDAY7CdPFqWt+vXr1ZTVPYaB/TGksgggdUUOzmkFFXTsB7sCLzAaENO9kgjpOzSrjEEU0YffXPd&#13;&#10;tjfNhGQiobbMOXr/kpTrit/3Vqevfc82Cd/JPFuqlqrdFtusV6B2BHFw+jQG/MMUI7iQf3qBuocE&#13;&#10;Yk/uL6jRaULGPi00jg32vdO2cshsrto/2DwNEG3lksXheJGJ/x+s/nK4Cxsqo+s5PMVH1N85i9JM&#13;&#10;kdUlWRyOGxLb6TOavEbYJ6x8557G0pyZiLnKerzIauckdA6+XS5vsvb6nGlAndsicfpkcRTl0Unv&#13;&#10;QuELCg6PnMoYoM4lJRzwwXlfd+aDmPLBte8+LGsHo3emZEsd025750kcoKy9fmXTGe23MsJ9MBVt&#13;&#10;sGA+nt4JnH9553ofTloU+uWqWG3RHDdU4IqX91KBTzdUFv+rX6t+Xvr6BwAAAP//AwBQSwMEFAAG&#13;&#10;AAgAAAAhAJ4yfSzhAAAADgEAAA8AAABkcnMvZG93bnJldi54bWxMj91OwkAQhe9NeIfNmHgn2wIW&#13;&#10;Kd0SlBjkEvQBlu7YNu7O1u4C5e0d44XeTDJ/53ynWA3OijP2ofWkIB0nIJAqb1qqFby/vdw/gghR&#13;&#10;k9HWEyq4YoBVObopdG78hfZ4PsRasAiFXCtoYuxyKUPVoNNh7Dsk3n343unIbV9L0+sLizsrJ0mS&#13;&#10;SadbYodGd/jcYPV5ODkF63Tnqno+2OtmK/3r4mvrzdNUqbvbYbPksl6CiDjEvw/4ycD8UDLY0Z/I&#13;&#10;BGEVZNmC+aOC6SwFwQfZ/GEG4vg7kGUh/8covwEAAP//AwBQSwECLQAUAAYACAAAACEAtoM4kv4A&#13;&#10;AADhAQAAEwAAAAAAAAAAAAAAAAAAAAAAW0NvbnRlbnRfVHlwZXNdLnhtbFBLAQItABQABgAIAAAA&#13;&#10;IQA4/SH/1gAAAJQBAAALAAAAAAAAAAAAAAAAAC8BAABfcmVscy8ucmVsc1BLAQItABQABgAIAAAA&#13;&#10;IQBunqlJoQEAADEDAAAOAAAAAAAAAAAAAAAAAC4CAABkcnMvZTJvRG9jLnhtbFBLAQItABQABgAI&#13;&#10;AAAAIQCeMn0s4QAAAA4BAAAPAAAAAAAAAAAAAAAAAPsDAABkcnMvZG93bnJldi54bWxQSwUGAAAA&#13;&#10;AAQABADzAAAACQUAAAAA&#13;&#10;" strokeweight=".85pt">
                <o:lock v:ext="edit" shapetype="f"/>
                <w10:wrap anchorx="page"/>
              </v:line>
            </w:pict>
          </mc:Fallback>
        </mc:AlternateContent>
      </w:r>
      <w:r w:rsidR="00835DFA" w:rsidRPr="008A487B">
        <w:rPr>
          <w:sz w:val="20"/>
          <w:szCs w:val="20"/>
        </w:rPr>
        <w:t>Jusqu’à 30 000 $ du programme du CRSNG, jusqu’à 30 000 $ du programme CPC du CIO et au moins 30 000 $ du partenaire industriel (au moins 50 % doivent être consacrés à l’établissement universitaire).</w:t>
      </w:r>
    </w:p>
    <w:p w14:paraId="19F850D7" w14:textId="532718C0" w:rsidR="002C73B8" w:rsidRPr="008A487B" w:rsidRDefault="00835DFA">
      <w:pPr>
        <w:pStyle w:val="ListParagraph"/>
        <w:numPr>
          <w:ilvl w:val="0"/>
          <w:numId w:val="3"/>
        </w:numPr>
        <w:tabs>
          <w:tab w:val="left" w:pos="921"/>
          <w:tab w:val="left" w:pos="922"/>
        </w:tabs>
        <w:ind w:hanging="363"/>
        <w:rPr>
          <w:sz w:val="20"/>
          <w:szCs w:val="20"/>
        </w:rPr>
      </w:pPr>
      <w:r w:rsidRPr="008A487B">
        <w:rPr>
          <w:sz w:val="20"/>
          <w:szCs w:val="20"/>
        </w:rPr>
        <w:t>Durée du projet : jusqu’à 12 mois</w:t>
      </w:r>
      <w:r w:rsidR="006E6300">
        <w:rPr>
          <w:sz w:val="20"/>
          <w:szCs w:val="20"/>
        </w:rPr>
        <w:t>.</w:t>
      </w:r>
    </w:p>
    <w:p w14:paraId="19F850D8" w14:textId="77777777" w:rsidR="002C73B8" w:rsidRPr="008A487B" w:rsidRDefault="00835DFA">
      <w:pPr>
        <w:pStyle w:val="ListParagraph"/>
        <w:numPr>
          <w:ilvl w:val="0"/>
          <w:numId w:val="3"/>
        </w:numPr>
        <w:tabs>
          <w:tab w:val="left" w:pos="921"/>
          <w:tab w:val="left" w:pos="922"/>
        </w:tabs>
        <w:ind w:left="922" w:right="482" w:hanging="361"/>
        <w:rPr>
          <w:sz w:val="20"/>
          <w:szCs w:val="20"/>
        </w:rPr>
      </w:pPr>
      <w:r w:rsidRPr="008A487B">
        <w:rPr>
          <w:sz w:val="20"/>
          <w:szCs w:val="20"/>
        </w:rPr>
        <w:t>Collaborations entre des PME et des collèges pour des projets de R-D ayant un fort potentiel de développement économique régional et de commercialisation en Ontario.</w:t>
      </w:r>
    </w:p>
    <w:p w14:paraId="19F850D9" w14:textId="77777777" w:rsidR="002C73B8" w:rsidRPr="008A487B" w:rsidRDefault="00835DFA" w:rsidP="005D3017">
      <w:pPr>
        <w:pStyle w:val="ListParagraph"/>
        <w:numPr>
          <w:ilvl w:val="0"/>
          <w:numId w:val="3"/>
        </w:numPr>
        <w:tabs>
          <w:tab w:val="left" w:pos="921"/>
          <w:tab w:val="left" w:pos="922"/>
        </w:tabs>
        <w:ind w:right="199"/>
        <w:rPr>
          <w:sz w:val="20"/>
          <w:szCs w:val="20"/>
        </w:rPr>
      </w:pPr>
      <w:r w:rsidRPr="008A487B">
        <w:rPr>
          <w:sz w:val="20"/>
          <w:szCs w:val="20"/>
        </w:rPr>
        <w:t>Équipement, matériel et frais d’exploitation (jusqu’à 20 % du budget du CRSNG), frais généraux et frais d’administration (jusqu’à 20 % du budget du CRSNG), gestion de projet (jusqu’à 10 % du budget du CRSNG) et frais d’allégement de la charge de travail du corps professoral (jusqu’à 9 000 $ par cours ou par semestre).</w:t>
      </w:r>
    </w:p>
    <w:p w14:paraId="19F850DA" w14:textId="77777777" w:rsidR="002C73B8" w:rsidRPr="008A487B" w:rsidRDefault="00835DFA" w:rsidP="005D3017">
      <w:pPr>
        <w:pStyle w:val="ListParagraph"/>
        <w:numPr>
          <w:ilvl w:val="0"/>
          <w:numId w:val="3"/>
        </w:numPr>
        <w:tabs>
          <w:tab w:val="left" w:pos="921"/>
          <w:tab w:val="left" w:pos="922"/>
        </w:tabs>
        <w:ind w:left="920" w:right="482"/>
        <w:rPr>
          <w:sz w:val="20"/>
          <w:szCs w:val="20"/>
        </w:rPr>
      </w:pPr>
      <w:r w:rsidRPr="008A487B">
        <w:rPr>
          <w:sz w:val="20"/>
          <w:szCs w:val="20"/>
        </w:rPr>
        <w:t>Les frais de déplacement sont admissibles pour permettre au personnel du collège de mener le projet, mais ne comprennent pas les congrès internationaux pour présenter les résultats de la recherche.</w:t>
      </w:r>
    </w:p>
    <w:p w14:paraId="19F850DB" w14:textId="77777777" w:rsidR="002C73B8" w:rsidRPr="008A487B" w:rsidRDefault="00835DFA">
      <w:pPr>
        <w:pStyle w:val="ListParagraph"/>
        <w:numPr>
          <w:ilvl w:val="0"/>
          <w:numId w:val="3"/>
        </w:numPr>
        <w:tabs>
          <w:tab w:val="left" w:pos="921"/>
          <w:tab w:val="left" w:pos="922"/>
        </w:tabs>
        <w:ind w:left="920" w:right="379"/>
        <w:rPr>
          <w:sz w:val="20"/>
          <w:szCs w:val="20"/>
        </w:rPr>
      </w:pPr>
      <w:r w:rsidRPr="008A487B">
        <w:rPr>
          <w:sz w:val="20"/>
          <w:szCs w:val="20"/>
        </w:rPr>
        <w:t>Les partenaires industriels du programme CPC-RDA sont limités à deux subventions de RDA par exercice financier (du 1</w:t>
      </w:r>
      <w:r w:rsidRPr="008A487B">
        <w:rPr>
          <w:sz w:val="20"/>
          <w:szCs w:val="20"/>
          <w:vertAlign w:val="superscript"/>
        </w:rPr>
        <w:t>er</w:t>
      </w:r>
      <w:r w:rsidRPr="008A487B">
        <w:rPr>
          <w:sz w:val="20"/>
          <w:szCs w:val="20"/>
        </w:rPr>
        <w:t xml:space="preserve"> avril au 31 mars; comprend la participation combinée de l’entreprise à des projets du programme CPC-RDA et les projets de RDA autonomes). Les partenaires qui fournissent des contributions en espèces à des projets en cours financés par le CRSNG en dehors du programme RDA pourront toutefois présenter jusqu’à deux demandes supplémentaires de RDA par année.</w:t>
      </w:r>
    </w:p>
    <w:p w14:paraId="19F850DC" w14:textId="77777777" w:rsidR="002C73B8" w:rsidRPr="008A487B" w:rsidRDefault="00835DFA" w:rsidP="007246E3">
      <w:pPr>
        <w:pStyle w:val="ListParagraph"/>
        <w:numPr>
          <w:ilvl w:val="0"/>
          <w:numId w:val="3"/>
        </w:numPr>
        <w:tabs>
          <w:tab w:val="left" w:pos="921"/>
          <w:tab w:val="left" w:pos="922"/>
        </w:tabs>
        <w:ind w:right="624"/>
        <w:rPr>
          <w:sz w:val="20"/>
          <w:szCs w:val="20"/>
        </w:rPr>
      </w:pPr>
      <w:r w:rsidRPr="008A487B">
        <w:rPr>
          <w:sz w:val="20"/>
          <w:szCs w:val="20"/>
        </w:rPr>
        <w:t>Veuillez consulter la version intégrale des</w:t>
      </w:r>
      <w:r w:rsidRPr="008A487B">
        <w:rPr>
          <w:color w:val="0000FF"/>
          <w:sz w:val="20"/>
          <w:szCs w:val="20"/>
        </w:rPr>
        <w:t xml:space="preserve"> </w:t>
      </w:r>
      <w:hyperlink r:id="rId19">
        <w:r w:rsidRPr="008A487B">
          <w:rPr>
            <w:color w:val="0000FF"/>
            <w:sz w:val="20"/>
            <w:szCs w:val="20"/>
            <w:u w:val="single" w:color="0000FF"/>
          </w:rPr>
          <w:t>lignes directrices du programme de RDA pour les collèges du CRSNG</w:t>
        </w:r>
      </w:hyperlink>
      <w:r w:rsidRPr="008A487B">
        <w:rPr>
          <w:color w:val="0000FF"/>
          <w:sz w:val="20"/>
          <w:szCs w:val="20"/>
        </w:rPr>
        <w:t xml:space="preserve"> </w:t>
      </w:r>
      <w:r w:rsidRPr="008A487B">
        <w:rPr>
          <w:sz w:val="20"/>
          <w:szCs w:val="20"/>
        </w:rPr>
        <w:t>pour connaître les critères d’admissibilité et obtenir des renseignements sur le programme.</w:t>
      </w:r>
    </w:p>
    <w:p w14:paraId="19F850DD" w14:textId="77777777" w:rsidR="002C73B8" w:rsidRPr="008A487B" w:rsidRDefault="002C73B8">
      <w:pPr>
        <w:pStyle w:val="BodyText"/>
        <w:spacing w:before="10"/>
        <w:rPr>
          <w:sz w:val="10"/>
          <w:szCs w:val="10"/>
        </w:rPr>
      </w:pPr>
    </w:p>
    <w:p w14:paraId="19F850DE" w14:textId="77777777" w:rsidR="002C73B8" w:rsidRDefault="00835DFA">
      <w:pPr>
        <w:pStyle w:val="Heading1"/>
        <w:jc w:val="both"/>
      </w:pPr>
      <w:r>
        <w:rPr>
          <w:color w:val="E14E35"/>
        </w:rPr>
        <w:t>Comment faire une demande</w:t>
      </w:r>
    </w:p>
    <w:p w14:paraId="19F850DF" w14:textId="77777777" w:rsidR="002C73B8" w:rsidRPr="008A487B" w:rsidRDefault="00835DFA">
      <w:pPr>
        <w:pStyle w:val="BodyText"/>
        <w:spacing w:before="9"/>
        <w:rPr>
          <w:b/>
          <w:sz w:val="10"/>
          <w:szCs w:val="10"/>
        </w:rPr>
      </w:pPr>
      <w:commentRangeStart w:id="22"/>
      <w:r w:rsidRPr="008A487B">
        <w:rPr>
          <w:noProof/>
          <w:sz w:val="10"/>
          <w:szCs w:val="10"/>
        </w:rPr>
        <w:drawing>
          <wp:anchor distT="0" distB="0" distL="0" distR="0" simplePos="0" relativeHeight="251658241" behindDoc="0" locked="0" layoutInCell="1" allowOverlap="1" wp14:anchorId="19F85158" wp14:editId="19F85159">
            <wp:simplePos x="0" y="0"/>
            <wp:positionH relativeFrom="page">
              <wp:posOffset>849690</wp:posOffset>
            </wp:positionH>
            <wp:positionV relativeFrom="paragraph">
              <wp:posOffset>152864</wp:posOffset>
            </wp:positionV>
            <wp:extent cx="5717135" cy="2916936"/>
            <wp:effectExtent l="0" t="0" r="0" b="0"/>
            <wp:wrapTopAndBottom/>
            <wp:docPr id="7" name="image4.jpeg" descr="Diagram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0" cstate="print"/>
                    <a:stretch>
                      <a:fillRect/>
                    </a:stretch>
                  </pic:blipFill>
                  <pic:spPr>
                    <a:xfrm>
                      <a:off x="0" y="0"/>
                      <a:ext cx="5717135" cy="2916936"/>
                    </a:xfrm>
                    <a:prstGeom prst="rect">
                      <a:avLst/>
                    </a:prstGeom>
                  </pic:spPr>
                </pic:pic>
              </a:graphicData>
            </a:graphic>
          </wp:anchor>
        </w:drawing>
      </w:r>
      <w:commentRangeEnd w:id="22"/>
      <w:r w:rsidR="00796CAD">
        <w:rPr>
          <w:rStyle w:val="CommentReference"/>
        </w:rPr>
        <w:commentReference w:id="22"/>
      </w:r>
    </w:p>
    <w:p w14:paraId="19F850E0" w14:textId="77777777" w:rsidR="002C73B8" w:rsidRDefault="00835DFA">
      <w:pPr>
        <w:pStyle w:val="Heading2"/>
        <w:spacing w:before="292" w:line="293" w:lineRule="exact"/>
        <w:jc w:val="both"/>
      </w:pPr>
      <w:bookmarkStart w:id="23" w:name="Application_Process_and_Timelines"/>
      <w:bookmarkStart w:id="24" w:name="_bookmark13"/>
      <w:bookmarkEnd w:id="23"/>
      <w:bookmarkEnd w:id="24"/>
      <w:r>
        <w:rPr>
          <w:color w:val="1F487B"/>
        </w:rPr>
        <w:t>Processus de demande et échéancier</w:t>
      </w:r>
    </w:p>
    <w:p w14:paraId="19F850E1" w14:textId="77777777" w:rsidR="002C73B8" w:rsidRPr="008A487B" w:rsidRDefault="00835DFA">
      <w:pPr>
        <w:pStyle w:val="BodyText"/>
        <w:ind w:left="301" w:right="209"/>
        <w:jc w:val="both"/>
        <w:rPr>
          <w:sz w:val="20"/>
          <w:szCs w:val="20"/>
        </w:rPr>
      </w:pPr>
      <w:r w:rsidRPr="008A487B">
        <w:rPr>
          <w:sz w:val="20"/>
          <w:szCs w:val="20"/>
        </w:rPr>
        <w:t xml:space="preserve">Si vous êtes sur le point de présenter une demande dans le cadre du programme Collaborer pour commercialiser (CPC), le partenaire industriel doit communiquer avec son </w:t>
      </w:r>
      <w:hyperlink r:id="rId25">
        <w:r w:rsidRPr="008A487B">
          <w:rPr>
            <w:color w:val="0000FF"/>
            <w:sz w:val="20"/>
            <w:szCs w:val="20"/>
            <w:u w:val="single" w:color="0000FF"/>
          </w:rPr>
          <w:t>gestionnaire en développement commercial (GDC)</w:t>
        </w:r>
      </w:hyperlink>
      <w:r w:rsidRPr="008A487B">
        <w:rPr>
          <w:color w:val="0000FF"/>
          <w:sz w:val="20"/>
          <w:szCs w:val="20"/>
        </w:rPr>
        <w:t xml:space="preserve"> </w:t>
      </w:r>
      <w:r w:rsidRPr="008A487B">
        <w:rPr>
          <w:sz w:val="20"/>
          <w:szCs w:val="20"/>
        </w:rPr>
        <w:t>du CIO pour amorcer le processus de présentation d’une demande.</w:t>
      </w:r>
    </w:p>
    <w:p w14:paraId="19F850E2" w14:textId="77777777" w:rsidR="002C73B8" w:rsidRPr="008A487B" w:rsidRDefault="00835DFA">
      <w:pPr>
        <w:pStyle w:val="BodyText"/>
        <w:spacing w:before="121"/>
        <w:ind w:left="302" w:right="206" w:hanging="1"/>
        <w:jc w:val="both"/>
        <w:rPr>
          <w:sz w:val="20"/>
          <w:szCs w:val="20"/>
        </w:rPr>
      </w:pPr>
      <w:r w:rsidRPr="008A487B">
        <w:rPr>
          <w:sz w:val="20"/>
          <w:szCs w:val="20"/>
        </w:rPr>
        <w:t>S’il s’agit de sa première demande auprès du CIO, le partenaire industriel doit remplir le formulaire de demande de renseignements sur le programme (veuillez cliquer ci-dessus) afin d’être mis en contact avec un gestionnaire en développement commercial pour discuter de son admissibilité au programme CPC et de la façon d’amorcer le processus de demande.</w:t>
      </w:r>
    </w:p>
    <w:p w14:paraId="19F850E3" w14:textId="474FB68E" w:rsidR="002C73B8" w:rsidRPr="008A487B" w:rsidRDefault="00835DFA" w:rsidP="0015041A">
      <w:pPr>
        <w:pStyle w:val="Heading3"/>
        <w:spacing w:before="118"/>
        <w:ind w:left="284" w:right="199" w:hanging="142"/>
        <w:jc w:val="both"/>
        <w:rPr>
          <w:b w:val="0"/>
          <w:sz w:val="20"/>
          <w:szCs w:val="20"/>
        </w:rPr>
      </w:pPr>
      <w:r w:rsidRPr="008A487B">
        <w:rPr>
          <w:sz w:val="20"/>
          <w:szCs w:val="20"/>
        </w:rPr>
        <w:t>* Veuillez prendre note que le fait de remplir ce formulaire ne constitue pas une demande de financement.</w:t>
      </w:r>
      <w:r w:rsidRPr="008A487B">
        <w:rPr>
          <w:b w:val="0"/>
          <w:sz w:val="20"/>
          <w:szCs w:val="20"/>
        </w:rPr>
        <w:t xml:space="preserve"> Une fois </w:t>
      </w:r>
    </w:p>
    <w:p w14:paraId="19F850E4" w14:textId="77777777" w:rsidR="002C73B8" w:rsidRDefault="002C73B8">
      <w:pPr>
        <w:jc w:val="both"/>
        <w:sectPr w:rsidR="002C73B8">
          <w:pgSz w:w="12240" w:h="15840"/>
          <w:pgMar w:top="1560" w:right="1120" w:bottom="920" w:left="1140" w:header="293" w:footer="738" w:gutter="0"/>
          <w:cols w:space="720"/>
        </w:sectPr>
      </w:pPr>
    </w:p>
    <w:p w14:paraId="19F850E7" w14:textId="280C8DE4" w:rsidR="002C73B8" w:rsidRPr="005D3017" w:rsidRDefault="0015041A">
      <w:pPr>
        <w:pStyle w:val="BodyText"/>
        <w:spacing w:line="237" w:lineRule="auto"/>
        <w:ind w:left="201" w:right="332"/>
        <w:rPr>
          <w:sz w:val="20"/>
          <w:szCs w:val="20"/>
        </w:rPr>
      </w:pPr>
      <w:proofErr w:type="gramStart"/>
      <w:r w:rsidRPr="008A487B">
        <w:rPr>
          <w:sz w:val="20"/>
          <w:szCs w:val="20"/>
        </w:rPr>
        <w:lastRenderedPageBreak/>
        <w:t>le</w:t>
      </w:r>
      <w:proofErr w:type="gramEnd"/>
      <w:r w:rsidRPr="008A487B">
        <w:rPr>
          <w:sz w:val="20"/>
          <w:szCs w:val="20"/>
        </w:rPr>
        <w:t xml:space="preserve"> formulaire de demande de renseignements sur le programme</w:t>
      </w:r>
      <w:r w:rsidRPr="005D3017">
        <w:rPr>
          <w:sz w:val="20"/>
          <w:szCs w:val="20"/>
        </w:rPr>
        <w:t xml:space="preserve"> </w:t>
      </w:r>
      <w:r w:rsidR="00835DFA" w:rsidRPr="005D3017">
        <w:rPr>
          <w:sz w:val="20"/>
          <w:szCs w:val="20"/>
        </w:rPr>
        <w:t xml:space="preserve">rempli, un </w:t>
      </w:r>
      <w:hyperlink r:id="rId26">
        <w:r w:rsidR="00835DFA" w:rsidRPr="005D3017">
          <w:rPr>
            <w:color w:val="0000FF"/>
            <w:sz w:val="20"/>
            <w:szCs w:val="20"/>
            <w:u w:val="single" w:color="0000FF"/>
          </w:rPr>
          <w:t>gestionnaire en développement commercial (GDC)</w:t>
        </w:r>
      </w:hyperlink>
      <w:r w:rsidR="00835DFA" w:rsidRPr="005D3017">
        <w:rPr>
          <w:color w:val="0000FF"/>
          <w:sz w:val="20"/>
          <w:szCs w:val="20"/>
        </w:rPr>
        <w:t xml:space="preserve"> </w:t>
      </w:r>
      <w:r w:rsidR="00835DFA" w:rsidRPr="005D3017">
        <w:rPr>
          <w:sz w:val="20"/>
          <w:szCs w:val="20"/>
        </w:rPr>
        <w:t>du CIO communiquera avec vous dans les plus brefs délais pour discuter du projet et, au besoin, vous aider à trouver un partenaire de recherche.</w:t>
      </w:r>
    </w:p>
    <w:p w14:paraId="19F850E8" w14:textId="77777777" w:rsidR="002C73B8" w:rsidRDefault="002C73B8">
      <w:pPr>
        <w:pStyle w:val="BodyText"/>
        <w:spacing w:before="7"/>
        <w:rPr>
          <w:sz w:val="21"/>
        </w:rPr>
      </w:pPr>
    </w:p>
    <w:p w14:paraId="19F850E9" w14:textId="77777777" w:rsidR="002C73B8" w:rsidRDefault="00835DFA">
      <w:pPr>
        <w:pStyle w:val="Heading3"/>
        <w:spacing w:before="0"/>
        <w:ind w:left="201"/>
        <w:rPr>
          <w:b w:val="0"/>
        </w:rPr>
      </w:pPr>
      <w:r>
        <w:t>Voici le processus de demande :</w:t>
      </w:r>
    </w:p>
    <w:p w14:paraId="19F850EA" w14:textId="77777777" w:rsidR="002C73B8" w:rsidRDefault="002C73B8">
      <w:pPr>
        <w:pStyle w:val="BodyText"/>
        <w:spacing w:before="5"/>
        <w:rPr>
          <w:sz w:val="21"/>
        </w:rPr>
      </w:pPr>
    </w:p>
    <w:p w14:paraId="19F850EB" w14:textId="77777777" w:rsidR="002C73B8" w:rsidRPr="005D3017" w:rsidRDefault="00835DFA">
      <w:pPr>
        <w:pStyle w:val="ListParagraph"/>
        <w:numPr>
          <w:ilvl w:val="0"/>
          <w:numId w:val="2"/>
        </w:numPr>
        <w:tabs>
          <w:tab w:val="left" w:pos="922"/>
        </w:tabs>
        <w:ind w:right="708"/>
        <w:rPr>
          <w:sz w:val="20"/>
          <w:szCs w:val="20"/>
        </w:rPr>
      </w:pPr>
      <w:r w:rsidRPr="005D3017">
        <w:rPr>
          <w:sz w:val="20"/>
          <w:szCs w:val="20"/>
        </w:rPr>
        <w:t>Le projet fera l’objet d’une vérification initiale et d’une évaluation de la diligence raisonnable par le CIO pour s’assurer qu’il répond à tous les critères d’admissibilité et qu’il convient au programme CPC. Le projet doit être à la fois admissible et approprié pour être intégré dans ce programme très concurrentiel.</w:t>
      </w:r>
    </w:p>
    <w:p w14:paraId="19F850EC" w14:textId="77777777" w:rsidR="002C73B8" w:rsidRPr="005D3017" w:rsidRDefault="002C73B8">
      <w:pPr>
        <w:pStyle w:val="BodyText"/>
        <w:rPr>
          <w:sz w:val="20"/>
          <w:szCs w:val="20"/>
        </w:rPr>
      </w:pPr>
    </w:p>
    <w:p w14:paraId="19F850ED" w14:textId="77777777" w:rsidR="002C73B8" w:rsidRPr="005D3017" w:rsidRDefault="00835DFA">
      <w:pPr>
        <w:pStyle w:val="ListParagraph"/>
        <w:numPr>
          <w:ilvl w:val="0"/>
          <w:numId w:val="2"/>
        </w:numPr>
        <w:tabs>
          <w:tab w:val="left" w:pos="922"/>
        </w:tabs>
        <w:spacing w:line="237" w:lineRule="auto"/>
        <w:ind w:left="921" w:right="627"/>
        <w:jc w:val="both"/>
        <w:rPr>
          <w:sz w:val="20"/>
          <w:szCs w:val="20"/>
        </w:rPr>
      </w:pPr>
      <w:r w:rsidRPr="005D3017">
        <w:rPr>
          <w:sz w:val="20"/>
          <w:szCs w:val="20"/>
        </w:rPr>
        <w:t xml:space="preserve">Si le projet est considéré comme admissible et bien adapté au programme, vous recevrez un lien généré automatiquement vers le système de demande en ligne du CIO, </w:t>
      </w:r>
      <w:proofErr w:type="spellStart"/>
      <w:r w:rsidRPr="005D3017">
        <w:rPr>
          <w:sz w:val="20"/>
          <w:szCs w:val="20"/>
        </w:rPr>
        <w:t>AccessOCI</w:t>
      </w:r>
      <w:proofErr w:type="spellEnd"/>
      <w:r w:rsidRPr="005D3017">
        <w:rPr>
          <w:sz w:val="20"/>
          <w:szCs w:val="20"/>
        </w:rPr>
        <w:t>, afin de remplir la demande. Le processus de demande restera ouvert pendant 90 jours.</w:t>
      </w:r>
    </w:p>
    <w:p w14:paraId="19F850EE" w14:textId="77777777" w:rsidR="002C73B8" w:rsidRPr="005D3017" w:rsidRDefault="002C73B8">
      <w:pPr>
        <w:pStyle w:val="BodyText"/>
        <w:spacing w:before="6"/>
        <w:rPr>
          <w:sz w:val="20"/>
          <w:szCs w:val="20"/>
        </w:rPr>
      </w:pPr>
    </w:p>
    <w:p w14:paraId="19F850EF" w14:textId="55764A17" w:rsidR="002C73B8" w:rsidRPr="005D3017" w:rsidRDefault="0033364A">
      <w:pPr>
        <w:pStyle w:val="ListParagraph"/>
        <w:numPr>
          <w:ilvl w:val="0"/>
          <w:numId w:val="2"/>
        </w:numPr>
        <w:tabs>
          <w:tab w:val="left" w:pos="922"/>
        </w:tabs>
        <w:ind w:left="921" w:right="376" w:hanging="361"/>
        <w:jc w:val="both"/>
        <w:rPr>
          <w:sz w:val="20"/>
          <w:szCs w:val="20"/>
        </w:rPr>
      </w:pPr>
      <w:r>
        <w:rPr>
          <w:noProof/>
          <w:sz w:val="20"/>
          <w:szCs w:val="20"/>
        </w:rPr>
        <mc:AlternateContent>
          <mc:Choice Requires="wps">
            <w:drawing>
              <wp:anchor distT="0" distB="0" distL="114300" distR="114300" simplePos="0" relativeHeight="251658244" behindDoc="1" locked="0" layoutInCell="1" allowOverlap="1" wp14:anchorId="19F8515A" wp14:editId="756B9122">
                <wp:simplePos x="0" y="0"/>
                <wp:positionH relativeFrom="page">
                  <wp:posOffset>6181090</wp:posOffset>
                </wp:positionH>
                <wp:positionV relativeFrom="paragraph">
                  <wp:posOffset>837565</wp:posOffset>
                </wp:positionV>
                <wp:extent cx="35560" cy="0"/>
                <wp:effectExtent l="0" t="0" r="15240" b="12700"/>
                <wp:wrapNone/>
                <wp:docPr id="68247560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560" cy="0"/>
                        </a:xfrm>
                        <a:prstGeom prst="line">
                          <a:avLst/>
                        </a:prstGeom>
                        <a:noFill/>
                        <a:ln w="10795">
                          <a:solidFill>
                            <a:srgbClr val="0078D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0A89" id="Line 5" o:spid="_x0000_s1026" style="position:absolute;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7pt,65.95pt" to="489.5pt,6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TWoowEAADEDAAAOAAAAZHJzL2Uyb0RvYy54bWysUk1v2zAMvQ/YfxB0X+xmSNsZcXpo1l26&#13;&#10;LUC7H8BIcixUFgVSiZ1/P0lNsq/b0AvBLz3xPXJ5Nw1OHAyxRd/Kq1kthfEKtfW7Vv54fvhwKwVH&#13;&#10;8BocetPKo2F5t3r/bjmGxsyxR6cNiQTiuRlDK/sYQ1NVrHozAM8wGJ+KHdIAMYW0qzTBmNAHV83r&#13;&#10;+roakXQgVIY5ZdevRbkq+F1nVPzedWyicK1Ms8ViqdhtttVqCc2OIPRWncaA/5hiAOvTpxeoNUQQ&#13;&#10;e7L/QA1WETJ2caZwqLDrrDKFQ2JzVf/F5qmHYAqXJA6Hi0z8drDq2+HebyiPrib/FB5RvXASpRoD&#13;&#10;N5diDjhsSGzHr6jTGmEfsfCdOhry48RETEXW40VWM0WhUvLjYnGdtFfnSgXN+Vkgjl8MDiI7rXTW&#13;&#10;Z77QwOGRYx4DmnNLTnt8sM6VnTkvxnRw9c2nRXnB6KzO1dzHtNveOxIHyGuvb27X87zphPZHG+He&#13;&#10;64LWG9CfT34E61791O/8SYtMP18VN1vUxw1luBylvRTg0w3lxf8el65fl776CQAA//8DAFBLAwQU&#13;&#10;AAYACAAAACEAqUn5h98AAAAQAQAADwAAAGRycy9kb3ducmV2LnhtbExPTU/DMAy9I/EfIiNxY+ko&#13;&#10;YrRrOk1DCK4MDhyzJmuiJU6VZF377zESElws2e/5fTSbyTs26phsQAHLRQFMYxeUxV7A58fL3ROw&#13;&#10;lCUq6QJqAbNOsGmvrxpZq3DBdz3uc89IBFMtBZich5rz1BntZVqEQSNhxxC9zLTGnqsoLyTuHb8v&#13;&#10;ikfupUVyMHLQO6O70/7sBbyddmaO5cwL646vKiQ7fm2tELc30/OaxnYNLOsp/33ATwfKDy0FO4Qz&#13;&#10;qsScgGpVPhCVgHJZASNGtaqo4uH3wtuG/y/SfgMAAP//AwBQSwECLQAUAAYACAAAACEAtoM4kv4A&#13;&#10;AADhAQAAEwAAAAAAAAAAAAAAAAAAAAAAW0NvbnRlbnRfVHlwZXNdLnhtbFBLAQItABQABgAIAAAA&#13;&#10;IQA4/SH/1gAAAJQBAAALAAAAAAAAAAAAAAAAAC8BAABfcmVscy8ucmVsc1BLAQItABQABgAIAAAA&#13;&#10;IQDoDTWoowEAADEDAAAOAAAAAAAAAAAAAAAAAC4CAABkcnMvZTJvRG9jLnhtbFBLAQItABQABgAI&#13;&#10;AAAAIQCpSfmH3wAAABABAAAPAAAAAAAAAAAAAAAAAP0DAABkcnMvZG93bnJldi54bWxQSwUGAAAA&#13;&#10;AAQABADzAAAACQUAAAAA&#13;&#10;" strokecolor="#0078d2" strokeweight=".85pt">
                <o:lock v:ext="edit" shapetype="f"/>
                <w10:wrap anchorx="page"/>
              </v:line>
            </w:pict>
          </mc:Fallback>
        </mc:AlternateContent>
      </w:r>
      <w:r w:rsidR="00835DFA" w:rsidRPr="005D3017">
        <w:rPr>
          <w:sz w:val="20"/>
          <w:szCs w:val="20"/>
        </w:rPr>
        <w:t xml:space="preserve">Le formulaire de demande en ligne devra ensuite être rempli sur le portail </w:t>
      </w:r>
      <w:proofErr w:type="spellStart"/>
      <w:r w:rsidR="00835DFA" w:rsidRPr="005D3017">
        <w:rPr>
          <w:sz w:val="20"/>
          <w:szCs w:val="20"/>
        </w:rPr>
        <w:t>AccessOCI</w:t>
      </w:r>
      <w:proofErr w:type="spellEnd"/>
      <w:r w:rsidR="00835DFA" w:rsidRPr="005D3017">
        <w:rPr>
          <w:sz w:val="20"/>
          <w:szCs w:val="20"/>
        </w:rPr>
        <w:t xml:space="preserve">. Le partenaire industriel et le partenaire de recherche peuvent tous deux se connecter à </w:t>
      </w:r>
      <w:proofErr w:type="spellStart"/>
      <w:r w:rsidR="00835DFA" w:rsidRPr="005D3017">
        <w:rPr>
          <w:sz w:val="20"/>
          <w:szCs w:val="20"/>
        </w:rPr>
        <w:t>AccessOCI</w:t>
      </w:r>
      <w:proofErr w:type="spellEnd"/>
      <w:r w:rsidR="00835DFA" w:rsidRPr="005D3017">
        <w:rPr>
          <w:sz w:val="20"/>
          <w:szCs w:val="20"/>
        </w:rPr>
        <w:t xml:space="preserve"> du CIO. Si c’est la première fois que vous utilisez </w:t>
      </w:r>
      <w:proofErr w:type="spellStart"/>
      <w:r w:rsidR="00835DFA" w:rsidRPr="005D3017">
        <w:rPr>
          <w:sz w:val="20"/>
          <w:szCs w:val="20"/>
        </w:rPr>
        <w:t>AccessOCI</w:t>
      </w:r>
      <w:proofErr w:type="spellEnd"/>
      <w:r w:rsidR="00835DFA" w:rsidRPr="005D3017">
        <w:rPr>
          <w:sz w:val="20"/>
          <w:szCs w:val="20"/>
        </w:rPr>
        <w:t xml:space="preserve">, veuillez suivre les instructions pour créer un nom d’utilisateur et un mot de passe. La demande doit être remplie conjointement par le partenaire industriel (client) et le partenaire de recherche (demandeur). </w:t>
      </w:r>
      <w:proofErr w:type="spellStart"/>
      <w:r w:rsidR="00835DFA" w:rsidRPr="005D3017">
        <w:rPr>
          <w:sz w:val="20"/>
          <w:szCs w:val="20"/>
        </w:rPr>
        <w:t>Veuillez vous</w:t>
      </w:r>
      <w:proofErr w:type="spellEnd"/>
      <w:r w:rsidR="00835DFA" w:rsidRPr="005D3017">
        <w:rPr>
          <w:sz w:val="20"/>
          <w:szCs w:val="20"/>
        </w:rPr>
        <w:t xml:space="preserve"> assurer que seules les dépenses admissibles sont incluses dans le budget, car le CIO ne remboursera pas les dépenses non admissibles. Une fois que le partenaire industriel et le partenaire de recherche ont rempli conjointement la demande, y compris les modalités, celle-ci doit ensuite être présentée (par l’un ou l’autre des partenaires) au bureau de la recherche de l’établissement d’enseignement postsecondaire pour approbation.</w:t>
      </w:r>
    </w:p>
    <w:p w14:paraId="19F850F0" w14:textId="77777777" w:rsidR="002C73B8" w:rsidRDefault="002C73B8">
      <w:pPr>
        <w:pStyle w:val="BodyText"/>
        <w:spacing w:before="11"/>
      </w:pPr>
    </w:p>
    <w:p w14:paraId="19F850F1" w14:textId="77777777" w:rsidR="002C73B8" w:rsidRPr="005D3017" w:rsidRDefault="00835DFA">
      <w:pPr>
        <w:pStyle w:val="BodyText"/>
        <w:ind w:left="304"/>
        <w:rPr>
          <w:sz w:val="20"/>
          <w:szCs w:val="20"/>
        </w:rPr>
      </w:pPr>
      <w:r w:rsidRPr="005D3017">
        <w:rPr>
          <w:sz w:val="20"/>
          <w:szCs w:val="20"/>
        </w:rPr>
        <w:t>Pour obtenir de l’aide, veuillez consulter les ressources suivantes :</w:t>
      </w:r>
    </w:p>
    <w:p w14:paraId="19F850F2" w14:textId="27C176B8" w:rsidR="002C73B8" w:rsidRPr="005D3017" w:rsidRDefault="00835DFA">
      <w:pPr>
        <w:pStyle w:val="ListParagraph"/>
        <w:numPr>
          <w:ilvl w:val="1"/>
          <w:numId w:val="2"/>
        </w:numPr>
        <w:tabs>
          <w:tab w:val="left" w:pos="1183"/>
          <w:tab w:val="left" w:pos="1184"/>
        </w:tabs>
        <w:spacing w:before="119"/>
        <w:ind w:right="1207" w:hanging="358"/>
        <w:rPr>
          <w:sz w:val="20"/>
          <w:szCs w:val="20"/>
        </w:rPr>
      </w:pPr>
      <w:hyperlink r:id="rId27" w:history="1">
        <w:r w:rsidRPr="005A766E">
          <w:rPr>
            <w:rStyle w:val="Hyperlink"/>
            <w:sz w:val="20"/>
            <w:szCs w:val="20"/>
          </w:rPr>
          <w:t>Exemple de formulaire de demande</w:t>
        </w:r>
      </w:hyperlink>
      <w:r w:rsidRPr="005D3017">
        <w:rPr>
          <w:sz w:val="20"/>
          <w:szCs w:val="20"/>
        </w:rPr>
        <w:t xml:space="preserve"> (à titre de référence uniquement. Les demandes ne sont acceptées qu’au moyen du système en ligne du CIO, où toutes les exigences relatives à la demande sont énumérées).</w:t>
      </w:r>
    </w:p>
    <w:p w14:paraId="19F850F3" w14:textId="33C0AEE0" w:rsidR="002C73B8" w:rsidRPr="005D3017" w:rsidRDefault="00835DFA">
      <w:pPr>
        <w:pStyle w:val="ListParagraph"/>
        <w:numPr>
          <w:ilvl w:val="1"/>
          <w:numId w:val="2"/>
        </w:numPr>
        <w:tabs>
          <w:tab w:val="left" w:pos="1180"/>
          <w:tab w:val="left" w:pos="1181"/>
        </w:tabs>
        <w:spacing w:before="0"/>
        <w:rPr>
          <w:sz w:val="20"/>
          <w:szCs w:val="20"/>
        </w:rPr>
      </w:pPr>
      <w:r w:rsidRPr="005D3017">
        <w:rPr>
          <w:sz w:val="20"/>
          <w:szCs w:val="20"/>
        </w:rPr>
        <w:t xml:space="preserve">Veuillez consulter la </w:t>
      </w:r>
      <w:hyperlink r:id="rId28">
        <w:r w:rsidRPr="005D3017">
          <w:rPr>
            <w:color w:val="0000FF"/>
            <w:sz w:val="20"/>
            <w:szCs w:val="20"/>
            <w:u w:val="single" w:color="0000FF"/>
          </w:rPr>
          <w:t>page Web du programme CPC pour obtenir un</w:t>
        </w:r>
        <w:r w:rsidR="00F7087E">
          <w:rPr>
            <w:color w:val="0000FF"/>
            <w:sz w:val="20"/>
            <w:szCs w:val="20"/>
            <w:u w:val="single" w:color="0000FF"/>
          </w:rPr>
          <w:t>e copie</w:t>
        </w:r>
        <w:r w:rsidRPr="005D3017">
          <w:rPr>
            <w:color w:val="0000FF"/>
            <w:sz w:val="20"/>
            <w:szCs w:val="20"/>
            <w:u w:val="single" w:color="0000FF"/>
          </w:rPr>
          <w:t xml:space="preserve"> du guide des dépenses admissibles</w:t>
        </w:r>
      </w:hyperlink>
      <w:r w:rsidRPr="005D3017">
        <w:rPr>
          <w:sz w:val="20"/>
          <w:szCs w:val="20"/>
        </w:rPr>
        <w:t>.</w:t>
      </w:r>
    </w:p>
    <w:p w14:paraId="19F850F4" w14:textId="328E9DFB" w:rsidR="002C73B8" w:rsidRPr="005D3017" w:rsidRDefault="002C73B8">
      <w:pPr>
        <w:pStyle w:val="BodyText"/>
        <w:spacing w:before="8"/>
        <w:rPr>
          <w:sz w:val="20"/>
          <w:szCs w:val="20"/>
        </w:rPr>
      </w:pPr>
    </w:p>
    <w:p w14:paraId="19F850F5" w14:textId="77777777" w:rsidR="002C73B8" w:rsidRPr="005D3017" w:rsidRDefault="00835DFA">
      <w:pPr>
        <w:pStyle w:val="BodyText"/>
        <w:spacing w:before="27" w:line="237" w:lineRule="auto"/>
        <w:ind w:left="100" w:right="243"/>
        <w:rPr>
          <w:sz w:val="20"/>
          <w:szCs w:val="20"/>
        </w:rPr>
      </w:pPr>
      <w:r w:rsidRPr="005D3017">
        <w:rPr>
          <w:sz w:val="20"/>
          <w:szCs w:val="20"/>
        </w:rPr>
        <w:t>Le bureau de la recherche doit ensuite présenter la demande au gestionnaire du développement commercial (GDC) du CIO pour l’approbation finale et la soumission. Une fois celle-ci accordée et l’examen interne du CIO terminé, la demande fera l’objet d’un examen externe.</w:t>
      </w:r>
    </w:p>
    <w:p w14:paraId="19F850F6" w14:textId="77777777" w:rsidR="002C73B8" w:rsidRDefault="002C73B8">
      <w:pPr>
        <w:pStyle w:val="BodyText"/>
        <w:spacing w:before="3"/>
        <w:rPr>
          <w:sz w:val="21"/>
        </w:rPr>
      </w:pPr>
    </w:p>
    <w:p w14:paraId="19F850F7" w14:textId="77777777" w:rsidR="002C73B8" w:rsidRDefault="00835DFA">
      <w:pPr>
        <w:pStyle w:val="Heading2"/>
        <w:spacing w:line="293" w:lineRule="exact"/>
        <w:jc w:val="both"/>
      </w:pPr>
      <w:bookmarkStart w:id="25" w:name="Assessment_Process_and_Criteria"/>
      <w:bookmarkStart w:id="26" w:name="_bookmark14"/>
      <w:bookmarkEnd w:id="25"/>
      <w:bookmarkEnd w:id="26"/>
      <w:r>
        <w:rPr>
          <w:color w:val="1F487B"/>
        </w:rPr>
        <w:t>Processus et critères d’évaluation</w:t>
      </w:r>
    </w:p>
    <w:p w14:paraId="19F850F8" w14:textId="77777777" w:rsidR="002C73B8" w:rsidRPr="004F1984" w:rsidRDefault="00835DFA">
      <w:pPr>
        <w:pStyle w:val="BodyText"/>
        <w:ind w:left="302" w:right="409"/>
        <w:jc w:val="both"/>
        <w:rPr>
          <w:sz w:val="20"/>
          <w:szCs w:val="20"/>
        </w:rPr>
      </w:pPr>
      <w:r w:rsidRPr="004F1984">
        <w:rPr>
          <w:sz w:val="20"/>
          <w:szCs w:val="20"/>
        </w:rPr>
        <w:t>CPC est un programme discrétionnaire et restreint, dont le financement est limité. Toutes les demandes admissibles sont soumises à un processus d’examen au cours duquel celles-ci sont évaluées en fonction des objectifs et des critères d’évaluation du programme. Toutes les demandes admissibles ne seront pas approuvées pour du financement.</w:t>
      </w:r>
    </w:p>
    <w:p w14:paraId="19F850F9" w14:textId="6B6FF71F" w:rsidR="002C73B8" w:rsidRPr="004F1984" w:rsidRDefault="00835DFA">
      <w:pPr>
        <w:pStyle w:val="ListParagraph"/>
        <w:numPr>
          <w:ilvl w:val="0"/>
          <w:numId w:val="1"/>
        </w:numPr>
        <w:tabs>
          <w:tab w:val="left" w:pos="1023"/>
        </w:tabs>
        <w:spacing w:before="121"/>
        <w:ind w:right="893" w:hanging="361"/>
        <w:rPr>
          <w:sz w:val="20"/>
          <w:szCs w:val="20"/>
        </w:rPr>
      </w:pPr>
      <w:r w:rsidRPr="004F1984">
        <w:rPr>
          <w:sz w:val="20"/>
          <w:szCs w:val="20"/>
        </w:rPr>
        <w:t xml:space="preserve">Les demandes complètes feront l’objet d’un examen externe réalisé par trois experts en la matière issus du </w:t>
      </w:r>
      <w:r w:rsidR="00AE5D87">
        <w:rPr>
          <w:sz w:val="20"/>
          <w:szCs w:val="20"/>
        </w:rPr>
        <w:t>milieu de l’enseignement</w:t>
      </w:r>
      <w:r w:rsidRPr="004F1984">
        <w:rPr>
          <w:sz w:val="20"/>
          <w:szCs w:val="20"/>
        </w:rPr>
        <w:t>, de l’industrie ou du gouvernement. Les examinateurs sont liés contractuellement par des exigences en matière de confidentialité et de conflit d’intérêts.</w:t>
      </w:r>
    </w:p>
    <w:p w14:paraId="19F850FA" w14:textId="77777777" w:rsidR="002C73B8" w:rsidRPr="004F1984" w:rsidRDefault="00835DFA">
      <w:pPr>
        <w:pStyle w:val="ListParagraph"/>
        <w:numPr>
          <w:ilvl w:val="0"/>
          <w:numId w:val="1"/>
        </w:numPr>
        <w:tabs>
          <w:tab w:val="left" w:pos="1023"/>
        </w:tabs>
        <w:spacing w:before="0"/>
        <w:ind w:right="905"/>
        <w:rPr>
          <w:sz w:val="20"/>
          <w:szCs w:val="20"/>
        </w:rPr>
      </w:pPr>
      <w:r w:rsidRPr="004F1984">
        <w:rPr>
          <w:sz w:val="20"/>
          <w:szCs w:val="20"/>
        </w:rPr>
        <w:t>Les recommandations issues du processus d’examen par les pairs seront évaluées par le comité d’examen interne du CIO, à qui reviendra la responsabilité de la décision définitive du CIO. Les avis de décision sont généralement transmis dans les 35 jours suivant la soumission de la demande.</w:t>
      </w:r>
    </w:p>
    <w:p w14:paraId="19F850FB" w14:textId="77777777" w:rsidR="002C73B8" w:rsidRPr="004F1984" w:rsidRDefault="002C73B8">
      <w:pPr>
        <w:pStyle w:val="BodyText"/>
        <w:spacing w:before="12"/>
        <w:rPr>
          <w:sz w:val="20"/>
          <w:szCs w:val="20"/>
        </w:rPr>
      </w:pPr>
    </w:p>
    <w:p w14:paraId="19F850FC" w14:textId="77777777" w:rsidR="002C73B8" w:rsidRDefault="00835DFA">
      <w:pPr>
        <w:pStyle w:val="Heading2"/>
        <w:jc w:val="both"/>
      </w:pPr>
      <w:bookmarkStart w:id="27" w:name="Evaluation_Criteria"/>
      <w:bookmarkStart w:id="28" w:name="_bookmark15"/>
      <w:bookmarkEnd w:id="27"/>
      <w:bookmarkEnd w:id="28"/>
      <w:r>
        <w:rPr>
          <w:color w:val="1F487B"/>
        </w:rPr>
        <w:t>Critères d’évaluation</w:t>
      </w:r>
    </w:p>
    <w:p w14:paraId="19F850FD" w14:textId="77777777" w:rsidR="002C73B8" w:rsidRDefault="002C73B8">
      <w:pPr>
        <w:jc w:val="both"/>
        <w:sectPr w:rsidR="002C73B8">
          <w:pgSz w:w="12240" w:h="15840"/>
          <w:pgMar w:top="1560" w:right="1120" w:bottom="920" w:left="1140" w:header="293" w:footer="738" w:gutter="0"/>
          <w:cols w:space="720"/>
        </w:sectPr>
      </w:pPr>
    </w:p>
    <w:p w14:paraId="19F850FE" w14:textId="77777777" w:rsidR="002C73B8" w:rsidRDefault="002C73B8">
      <w:pPr>
        <w:pStyle w:val="BodyText"/>
        <w:rPr>
          <w:b/>
          <w:sz w:val="20"/>
        </w:rPr>
      </w:pPr>
    </w:p>
    <w:p w14:paraId="19F850FF" w14:textId="77777777" w:rsidR="002C73B8" w:rsidRDefault="002C73B8">
      <w:pPr>
        <w:pStyle w:val="BodyText"/>
        <w:spacing w:before="9"/>
        <w:rPr>
          <w:b/>
          <w:sz w:val="16"/>
        </w:rPr>
      </w:pPr>
    </w:p>
    <w:p w14:paraId="19F85100" w14:textId="77777777" w:rsidR="002C73B8" w:rsidRPr="005043B4" w:rsidRDefault="00835DFA">
      <w:pPr>
        <w:pStyle w:val="BodyText"/>
        <w:ind w:left="302"/>
        <w:rPr>
          <w:sz w:val="20"/>
          <w:szCs w:val="20"/>
        </w:rPr>
      </w:pPr>
      <w:r w:rsidRPr="005043B4">
        <w:rPr>
          <w:sz w:val="20"/>
          <w:szCs w:val="20"/>
        </w:rPr>
        <w:t>Les demandes seront évaluées en fonction de critères d’évaluation, notamment :</w:t>
      </w:r>
    </w:p>
    <w:p w14:paraId="19F85101" w14:textId="77777777" w:rsidR="002C73B8" w:rsidRPr="005043B4" w:rsidRDefault="00835DFA">
      <w:pPr>
        <w:pStyle w:val="ListParagraph"/>
        <w:numPr>
          <w:ilvl w:val="0"/>
          <w:numId w:val="3"/>
        </w:numPr>
        <w:tabs>
          <w:tab w:val="left" w:pos="921"/>
          <w:tab w:val="left" w:pos="922"/>
        </w:tabs>
        <w:spacing w:before="118"/>
        <w:ind w:right="353"/>
        <w:rPr>
          <w:sz w:val="20"/>
          <w:szCs w:val="20"/>
        </w:rPr>
      </w:pPr>
      <w:r w:rsidRPr="005043B4">
        <w:rPr>
          <w:sz w:val="20"/>
          <w:szCs w:val="20"/>
        </w:rPr>
        <w:t>Importance de la difficulté ou de la possibilité de soutenir la stratégie commerciale ou la croissance de l’entreprise.</w:t>
      </w:r>
    </w:p>
    <w:p w14:paraId="19F85102" w14:textId="77777777" w:rsidR="002C73B8" w:rsidRPr="005043B4" w:rsidRDefault="00835DFA">
      <w:pPr>
        <w:pStyle w:val="ListParagraph"/>
        <w:numPr>
          <w:ilvl w:val="0"/>
          <w:numId w:val="3"/>
        </w:numPr>
        <w:tabs>
          <w:tab w:val="left" w:pos="921"/>
          <w:tab w:val="left" w:pos="922"/>
        </w:tabs>
        <w:ind w:hanging="363"/>
        <w:rPr>
          <w:sz w:val="20"/>
          <w:szCs w:val="20"/>
        </w:rPr>
      </w:pPr>
      <w:r w:rsidRPr="005043B4">
        <w:rPr>
          <w:sz w:val="20"/>
          <w:szCs w:val="20"/>
        </w:rPr>
        <w:t>Justification du projet proposé pour aborder le problème ou la possibilité propre à l’entreprise.</w:t>
      </w:r>
    </w:p>
    <w:p w14:paraId="19F85103" w14:textId="77777777" w:rsidR="002C73B8" w:rsidRPr="005043B4" w:rsidRDefault="00835DFA">
      <w:pPr>
        <w:pStyle w:val="ListParagraph"/>
        <w:numPr>
          <w:ilvl w:val="0"/>
          <w:numId w:val="3"/>
        </w:numPr>
        <w:tabs>
          <w:tab w:val="left" w:pos="921"/>
          <w:tab w:val="left" w:pos="922"/>
        </w:tabs>
        <w:spacing w:before="0"/>
        <w:ind w:left="922" w:right="259" w:hanging="361"/>
        <w:rPr>
          <w:sz w:val="20"/>
          <w:szCs w:val="20"/>
        </w:rPr>
      </w:pPr>
      <w:r w:rsidRPr="005043B4">
        <w:rPr>
          <w:sz w:val="20"/>
          <w:szCs w:val="20"/>
        </w:rPr>
        <w:t>Clarté et pertinence de la méthodologie de recherche et développement, des objectifs et des rôles de chaque partenaire.</w:t>
      </w:r>
    </w:p>
    <w:p w14:paraId="19F85104" w14:textId="77777777" w:rsidR="002C73B8" w:rsidRPr="005043B4" w:rsidRDefault="00835DFA">
      <w:pPr>
        <w:pStyle w:val="ListParagraph"/>
        <w:numPr>
          <w:ilvl w:val="0"/>
          <w:numId w:val="3"/>
        </w:numPr>
        <w:tabs>
          <w:tab w:val="left" w:pos="921"/>
          <w:tab w:val="left" w:pos="922"/>
        </w:tabs>
        <w:ind w:right="403"/>
        <w:rPr>
          <w:sz w:val="20"/>
          <w:szCs w:val="20"/>
        </w:rPr>
      </w:pPr>
      <w:r w:rsidRPr="005043B4">
        <w:rPr>
          <w:sz w:val="20"/>
          <w:szCs w:val="20"/>
        </w:rPr>
        <w:t>Faisabilité du plan du projet (c.-à-d. étapes, budget, calendrier, plan de gestion du projet et risques).</w:t>
      </w:r>
    </w:p>
    <w:p w14:paraId="19F85105" w14:textId="77777777" w:rsidR="002C73B8" w:rsidRPr="005043B4" w:rsidRDefault="00835DFA">
      <w:pPr>
        <w:pStyle w:val="ListParagraph"/>
        <w:numPr>
          <w:ilvl w:val="0"/>
          <w:numId w:val="3"/>
        </w:numPr>
        <w:tabs>
          <w:tab w:val="left" w:pos="921"/>
          <w:tab w:val="left" w:pos="922"/>
        </w:tabs>
        <w:ind w:right="295" w:hanging="361"/>
        <w:rPr>
          <w:sz w:val="20"/>
          <w:szCs w:val="20"/>
        </w:rPr>
      </w:pPr>
      <w:r w:rsidRPr="005043B4">
        <w:rPr>
          <w:sz w:val="20"/>
          <w:szCs w:val="20"/>
        </w:rPr>
        <w:t>Caractère approprié de l’expérience, de l’expertise et des ressources de l’équipe pour réaliser le projet proposé.</w:t>
      </w:r>
    </w:p>
    <w:p w14:paraId="19F85106" w14:textId="77777777" w:rsidR="002C73B8" w:rsidRPr="005043B4" w:rsidRDefault="00835DFA">
      <w:pPr>
        <w:pStyle w:val="ListParagraph"/>
        <w:numPr>
          <w:ilvl w:val="0"/>
          <w:numId w:val="3"/>
        </w:numPr>
        <w:tabs>
          <w:tab w:val="left" w:pos="921"/>
          <w:tab w:val="left" w:pos="922"/>
        </w:tabs>
        <w:spacing w:before="3"/>
        <w:ind w:hanging="363"/>
        <w:rPr>
          <w:sz w:val="20"/>
          <w:szCs w:val="20"/>
        </w:rPr>
      </w:pPr>
      <w:r w:rsidRPr="005043B4">
        <w:rPr>
          <w:sz w:val="20"/>
          <w:szCs w:val="20"/>
        </w:rPr>
        <w:t>Clarté de la justification et du plan de collaboration entre l’équipe de recherche et l’entreprise.</w:t>
      </w:r>
    </w:p>
    <w:p w14:paraId="19F85107" w14:textId="5F768692" w:rsidR="002C73B8" w:rsidRPr="005043B4" w:rsidRDefault="00835DFA">
      <w:pPr>
        <w:pStyle w:val="ListParagraph"/>
        <w:numPr>
          <w:ilvl w:val="0"/>
          <w:numId w:val="3"/>
        </w:numPr>
        <w:tabs>
          <w:tab w:val="left" w:pos="921"/>
          <w:tab w:val="left" w:pos="922"/>
        </w:tabs>
        <w:ind w:right="298"/>
        <w:rPr>
          <w:sz w:val="20"/>
          <w:szCs w:val="20"/>
        </w:rPr>
      </w:pPr>
      <w:r w:rsidRPr="005043B4">
        <w:rPr>
          <w:sz w:val="20"/>
          <w:szCs w:val="20"/>
        </w:rPr>
        <w:t>Clarté et faisabilité du plan de mise en œuvre ou de commercialisation des résultats du projet, y compris la gestion de la propriété intellectuelle découlant du projet, et les étapes suivant l’achèvement du projet.</w:t>
      </w:r>
    </w:p>
    <w:p w14:paraId="19F85108" w14:textId="77777777" w:rsidR="002C73B8" w:rsidRPr="005043B4" w:rsidRDefault="00835DFA">
      <w:pPr>
        <w:pStyle w:val="ListParagraph"/>
        <w:numPr>
          <w:ilvl w:val="0"/>
          <w:numId w:val="3"/>
        </w:numPr>
        <w:tabs>
          <w:tab w:val="left" w:pos="921"/>
          <w:tab w:val="left" w:pos="922"/>
        </w:tabs>
        <w:ind w:hanging="363"/>
        <w:rPr>
          <w:sz w:val="20"/>
          <w:szCs w:val="20"/>
        </w:rPr>
      </w:pPr>
      <w:r w:rsidRPr="005043B4">
        <w:rPr>
          <w:sz w:val="20"/>
          <w:szCs w:val="20"/>
        </w:rPr>
        <w:t>Adéquation des ressources et de la capacité de l’entreprise à commercialiser les résultats.</w:t>
      </w:r>
    </w:p>
    <w:p w14:paraId="19F85109" w14:textId="77777777" w:rsidR="002C73B8" w:rsidRPr="005043B4" w:rsidRDefault="00835DFA">
      <w:pPr>
        <w:pStyle w:val="ListParagraph"/>
        <w:numPr>
          <w:ilvl w:val="0"/>
          <w:numId w:val="3"/>
        </w:numPr>
        <w:tabs>
          <w:tab w:val="left" w:pos="921"/>
          <w:tab w:val="left" w:pos="922"/>
        </w:tabs>
        <w:spacing w:before="0"/>
        <w:ind w:right="356"/>
        <w:rPr>
          <w:sz w:val="20"/>
          <w:szCs w:val="20"/>
        </w:rPr>
      </w:pPr>
      <w:r w:rsidRPr="005043B4">
        <w:rPr>
          <w:sz w:val="20"/>
          <w:szCs w:val="20"/>
        </w:rPr>
        <w:t>Probabilité d’avantages économiques pour l’entreprise en Ontario (y compris la création et le maintien d’emplois, la génération de nouveaux revenus, l’attraction d’investissements, les économies de coûts, le développement de la chaîne de valeur) dans les trois ans suivant l’achèvement du projet.</w:t>
      </w:r>
    </w:p>
    <w:p w14:paraId="19F8510A" w14:textId="77777777" w:rsidR="002C73B8" w:rsidRPr="005043B4" w:rsidRDefault="00835DFA">
      <w:pPr>
        <w:pStyle w:val="ListParagraph"/>
        <w:numPr>
          <w:ilvl w:val="0"/>
          <w:numId w:val="3"/>
        </w:numPr>
        <w:tabs>
          <w:tab w:val="left" w:pos="921"/>
          <w:tab w:val="left" w:pos="922"/>
        </w:tabs>
        <w:ind w:hanging="363"/>
        <w:rPr>
          <w:sz w:val="20"/>
          <w:szCs w:val="20"/>
        </w:rPr>
      </w:pPr>
      <w:r w:rsidRPr="005043B4">
        <w:rPr>
          <w:sz w:val="20"/>
          <w:szCs w:val="20"/>
        </w:rPr>
        <w:t>Qualité générale et exhaustivité de la demande.</w:t>
      </w:r>
    </w:p>
    <w:p w14:paraId="19F8510B" w14:textId="77777777" w:rsidR="002C73B8" w:rsidRDefault="00835DFA">
      <w:pPr>
        <w:pStyle w:val="Heading1"/>
        <w:spacing w:before="242"/>
      </w:pPr>
      <w:bookmarkStart w:id="29" w:name="Project_Activation,_Funds_and_Reporting"/>
      <w:bookmarkStart w:id="30" w:name="_bookmark16"/>
      <w:bookmarkEnd w:id="29"/>
      <w:bookmarkEnd w:id="30"/>
      <w:r>
        <w:rPr>
          <w:color w:val="E14E35"/>
        </w:rPr>
        <w:t>Lancement du projet, financement et production de rapports</w:t>
      </w:r>
    </w:p>
    <w:p w14:paraId="19F8510C" w14:textId="77777777" w:rsidR="002C73B8" w:rsidRDefault="00835DFA">
      <w:pPr>
        <w:pStyle w:val="Heading2"/>
        <w:spacing w:before="237"/>
      </w:pPr>
      <w:bookmarkStart w:id="31" w:name="Project_Activation"/>
      <w:bookmarkStart w:id="32" w:name="_bookmark17"/>
      <w:bookmarkEnd w:id="31"/>
      <w:bookmarkEnd w:id="32"/>
      <w:r>
        <w:rPr>
          <w:color w:val="1F487B"/>
        </w:rPr>
        <w:t>Lancement du projet</w:t>
      </w:r>
    </w:p>
    <w:p w14:paraId="19F8510D" w14:textId="2E30947C" w:rsidR="002C73B8" w:rsidRPr="005043B4" w:rsidRDefault="00835DFA">
      <w:pPr>
        <w:pStyle w:val="ListParagraph"/>
        <w:numPr>
          <w:ilvl w:val="0"/>
          <w:numId w:val="3"/>
        </w:numPr>
        <w:tabs>
          <w:tab w:val="left" w:pos="921"/>
          <w:tab w:val="left" w:pos="922"/>
        </w:tabs>
        <w:spacing w:before="0"/>
        <w:ind w:right="285"/>
        <w:rPr>
          <w:b/>
          <w:sz w:val="20"/>
          <w:szCs w:val="20"/>
        </w:rPr>
      </w:pPr>
      <w:r w:rsidRPr="005043B4">
        <w:rPr>
          <w:sz w:val="20"/>
          <w:szCs w:val="20"/>
        </w:rPr>
        <w:t xml:space="preserve">Dès l’approbation du financement d’un projet, l’établissement d’enseignement postsecondaire et le partenaire industriel recevront une copie de l’entente de financement générale du CIO. </w:t>
      </w:r>
      <w:r w:rsidRPr="005043B4">
        <w:rPr>
          <w:b/>
          <w:sz w:val="20"/>
          <w:szCs w:val="20"/>
        </w:rPr>
        <w:t>Celle-ci doit être signée, au moyen de la fonction de signature électronique en ligne du CIO, par l’établissement d’enseignement et le partenaire industriel dans les 30 jours suivant l’avis l’</w:t>
      </w:r>
      <w:r w:rsidR="00A01A6A">
        <w:rPr>
          <w:b/>
          <w:sz w:val="20"/>
          <w:szCs w:val="20"/>
        </w:rPr>
        <w:t>attribution</w:t>
      </w:r>
      <w:r w:rsidRPr="005043B4">
        <w:rPr>
          <w:b/>
          <w:sz w:val="20"/>
          <w:szCs w:val="20"/>
        </w:rPr>
        <w:t>. La non-signature de l’entente de financement peut entraîner le retrait du projet.</w:t>
      </w:r>
    </w:p>
    <w:p w14:paraId="19F8510E" w14:textId="77777777" w:rsidR="002C73B8" w:rsidRPr="005043B4" w:rsidRDefault="00835DFA">
      <w:pPr>
        <w:pStyle w:val="ListParagraph"/>
        <w:numPr>
          <w:ilvl w:val="0"/>
          <w:numId w:val="3"/>
        </w:numPr>
        <w:tabs>
          <w:tab w:val="left" w:pos="921"/>
          <w:tab w:val="left" w:pos="922"/>
        </w:tabs>
        <w:spacing w:before="4"/>
        <w:ind w:right="526"/>
        <w:rPr>
          <w:sz w:val="20"/>
          <w:szCs w:val="20"/>
        </w:rPr>
      </w:pPr>
      <w:r w:rsidRPr="005043B4">
        <w:rPr>
          <w:sz w:val="20"/>
          <w:szCs w:val="20"/>
        </w:rPr>
        <w:t>Vous pouvez télécharger un exemple d’entente de financement à titre de référence (voir ci-dessous). Veuillez ne pas remplir ce formulaire puisqu’une copie de l’entente sera générée par le système de gestion en ligne du CIO et vous sera envoyée dès l’approbation de votre projet.</w:t>
      </w:r>
    </w:p>
    <w:p w14:paraId="19F8510F" w14:textId="77777777" w:rsidR="002C73B8" w:rsidRPr="005043B4" w:rsidRDefault="00835DFA">
      <w:pPr>
        <w:pStyle w:val="ListParagraph"/>
        <w:numPr>
          <w:ilvl w:val="0"/>
          <w:numId w:val="3"/>
        </w:numPr>
        <w:tabs>
          <w:tab w:val="left" w:pos="921"/>
          <w:tab w:val="left" w:pos="922"/>
        </w:tabs>
        <w:ind w:left="922" w:right="347" w:hanging="362"/>
        <w:rPr>
          <w:sz w:val="20"/>
          <w:szCs w:val="20"/>
        </w:rPr>
      </w:pPr>
      <w:r w:rsidRPr="005043B4">
        <w:rPr>
          <w:sz w:val="20"/>
          <w:szCs w:val="20"/>
        </w:rPr>
        <w:t>L’entente de financement du CIO a pour but de définir les rôles et obligations des partenaires du projet en ce qui a trait aux directives du CIO et à la contribution au financement uniquement. Les partenaires du projet sont encouragés à conclure un accord distinct pour prendre des engagements concernant d’autres rôles et responsabilités liés au programme.</w:t>
      </w:r>
    </w:p>
    <w:p w14:paraId="19F85110" w14:textId="77777777" w:rsidR="002C73B8" w:rsidRPr="005043B4" w:rsidRDefault="00835DFA">
      <w:pPr>
        <w:pStyle w:val="ListParagraph"/>
        <w:numPr>
          <w:ilvl w:val="0"/>
          <w:numId w:val="3"/>
        </w:numPr>
        <w:tabs>
          <w:tab w:val="left" w:pos="921"/>
          <w:tab w:val="left" w:pos="922"/>
        </w:tabs>
        <w:spacing w:before="0"/>
        <w:ind w:right="376"/>
        <w:rPr>
          <w:sz w:val="20"/>
          <w:szCs w:val="20"/>
        </w:rPr>
      </w:pPr>
      <w:r w:rsidRPr="005043B4">
        <w:rPr>
          <w:sz w:val="20"/>
          <w:szCs w:val="20"/>
        </w:rPr>
        <w:t>Le projet sera lancé dès réception de l’entente de financement signée. La date du début sera par défaut celle du lancement du projet et ne pourra être modifiée.</w:t>
      </w:r>
    </w:p>
    <w:p w14:paraId="19F85111" w14:textId="77777777" w:rsidR="002C73B8" w:rsidRDefault="002C73B8">
      <w:pPr>
        <w:pStyle w:val="BodyText"/>
        <w:spacing w:before="8"/>
        <w:rPr>
          <w:sz w:val="19"/>
        </w:rPr>
      </w:pPr>
    </w:p>
    <w:p w14:paraId="19F85112" w14:textId="77777777" w:rsidR="002C73B8" w:rsidRDefault="00835DFA">
      <w:pPr>
        <w:pStyle w:val="Heading2"/>
      </w:pPr>
      <w:bookmarkStart w:id="33" w:name="Reference_Documents"/>
      <w:bookmarkStart w:id="34" w:name="_bookmark18"/>
      <w:bookmarkEnd w:id="33"/>
      <w:bookmarkEnd w:id="34"/>
      <w:r>
        <w:rPr>
          <w:color w:val="1F487B"/>
        </w:rPr>
        <w:t>Documents de référence</w:t>
      </w:r>
    </w:p>
    <w:p w14:paraId="19F85113" w14:textId="77777777" w:rsidR="002C73B8" w:rsidRPr="006D5E67" w:rsidRDefault="00835DFA">
      <w:pPr>
        <w:pStyle w:val="BodyText"/>
        <w:spacing w:before="4"/>
        <w:ind w:left="751"/>
        <w:rPr>
          <w:sz w:val="20"/>
          <w:szCs w:val="20"/>
        </w:rPr>
      </w:pPr>
      <w:proofErr w:type="gramStart"/>
      <w:r>
        <w:rPr>
          <w:rFonts w:ascii="Courier New"/>
          <w:color w:val="0000FF"/>
          <w:sz w:val="20"/>
        </w:rPr>
        <w:t>o</w:t>
      </w:r>
      <w:proofErr w:type="gramEnd"/>
      <w:r>
        <w:rPr>
          <w:rFonts w:ascii="Courier New"/>
          <w:color w:val="0000FF"/>
          <w:sz w:val="20"/>
        </w:rPr>
        <w:t xml:space="preserve"> </w:t>
      </w:r>
      <w:hyperlink r:id="rId29">
        <w:r w:rsidRPr="006D5E67">
          <w:rPr>
            <w:color w:val="0000FF"/>
            <w:sz w:val="20"/>
            <w:szCs w:val="20"/>
            <w:u w:val="single" w:color="0000FF"/>
          </w:rPr>
          <w:t>Entente de financement du CIO</w:t>
        </w:r>
      </w:hyperlink>
    </w:p>
    <w:p w14:paraId="19F85114" w14:textId="77777777" w:rsidR="002C73B8" w:rsidRDefault="002C73B8">
      <w:pPr>
        <w:pStyle w:val="BodyText"/>
        <w:rPr>
          <w:sz w:val="20"/>
        </w:rPr>
      </w:pPr>
    </w:p>
    <w:p w14:paraId="19F85117" w14:textId="77777777" w:rsidR="002C73B8" w:rsidRDefault="00835DFA">
      <w:pPr>
        <w:pStyle w:val="Heading2"/>
        <w:spacing w:before="52"/>
      </w:pPr>
      <w:bookmarkStart w:id="35" w:name="Flow_of_Funds"/>
      <w:bookmarkStart w:id="36" w:name="_bookmark19"/>
      <w:bookmarkEnd w:id="35"/>
      <w:bookmarkEnd w:id="36"/>
      <w:r>
        <w:rPr>
          <w:color w:val="1F487B"/>
        </w:rPr>
        <w:t>Versement des fonds</w:t>
      </w:r>
    </w:p>
    <w:p w14:paraId="19F85118" w14:textId="711E336D" w:rsidR="002C73B8" w:rsidRPr="005043B4" w:rsidRDefault="00835DFA">
      <w:pPr>
        <w:pStyle w:val="ListParagraph"/>
        <w:numPr>
          <w:ilvl w:val="0"/>
          <w:numId w:val="3"/>
        </w:numPr>
        <w:tabs>
          <w:tab w:val="left" w:pos="921"/>
          <w:tab w:val="left" w:pos="922"/>
        </w:tabs>
        <w:spacing w:before="0"/>
        <w:ind w:hanging="361"/>
        <w:rPr>
          <w:sz w:val="20"/>
          <w:szCs w:val="20"/>
        </w:rPr>
      </w:pPr>
      <w:r w:rsidRPr="005043B4">
        <w:rPr>
          <w:sz w:val="20"/>
          <w:szCs w:val="20"/>
        </w:rPr>
        <w:t>Les contributions du CIO sont versées à l’établissement d’enseignement postsecondaire. Au moment du</w:t>
      </w:r>
      <w:r w:rsidR="00F8144A">
        <w:rPr>
          <w:sz w:val="20"/>
          <w:szCs w:val="20"/>
        </w:rPr>
        <w:t xml:space="preserve"> </w:t>
      </w:r>
      <w:r w:rsidR="00F8144A" w:rsidRPr="005043B4">
        <w:rPr>
          <w:sz w:val="20"/>
          <w:szCs w:val="20"/>
        </w:rPr>
        <w:t>lancement,</w:t>
      </w:r>
      <w:r w:rsidR="00F8144A">
        <w:rPr>
          <w:sz w:val="20"/>
          <w:szCs w:val="20"/>
        </w:rPr>
        <w:t xml:space="preserve"> </w:t>
      </w:r>
      <w:r w:rsidR="00F8144A" w:rsidRPr="00F8144A">
        <w:rPr>
          <w:sz w:val="20"/>
          <w:szCs w:val="20"/>
        </w:rPr>
        <w:t>le CIO versera une avance correspondant à 25 % du montant de la subvention du CIO, y compris 25 % des frais généraux de l’établissement. Les paiements subséquents sont effectués sur présentation et</w:t>
      </w:r>
    </w:p>
    <w:p w14:paraId="19F85119" w14:textId="77777777" w:rsidR="002C73B8" w:rsidRDefault="002C73B8">
      <w:pPr>
        <w:sectPr w:rsidR="002C73B8">
          <w:pgSz w:w="12240" w:h="15840"/>
          <w:pgMar w:top="1560" w:right="1120" w:bottom="920" w:left="1140" w:header="293" w:footer="738" w:gutter="0"/>
          <w:cols w:space="720"/>
        </w:sectPr>
      </w:pPr>
    </w:p>
    <w:p w14:paraId="19F8511A" w14:textId="77777777" w:rsidR="002C73B8" w:rsidRDefault="002C73B8">
      <w:pPr>
        <w:pStyle w:val="BodyText"/>
        <w:rPr>
          <w:sz w:val="20"/>
        </w:rPr>
      </w:pPr>
    </w:p>
    <w:p w14:paraId="19F8511B" w14:textId="77777777" w:rsidR="002C73B8" w:rsidRDefault="002C73B8">
      <w:pPr>
        <w:pStyle w:val="BodyText"/>
        <w:spacing w:before="9"/>
        <w:rPr>
          <w:sz w:val="16"/>
        </w:rPr>
      </w:pPr>
    </w:p>
    <w:p w14:paraId="19F8511C" w14:textId="2EA7DC94" w:rsidR="002C73B8" w:rsidRDefault="00835DFA">
      <w:pPr>
        <w:pStyle w:val="BodyText"/>
        <w:ind w:left="920" w:right="243"/>
      </w:pPr>
      <w:proofErr w:type="gramStart"/>
      <w:r w:rsidRPr="00F8144A">
        <w:rPr>
          <w:sz w:val="20"/>
          <w:szCs w:val="20"/>
        </w:rPr>
        <w:t>approbation</w:t>
      </w:r>
      <w:proofErr w:type="gramEnd"/>
      <w:r w:rsidRPr="00F8144A">
        <w:rPr>
          <w:sz w:val="20"/>
          <w:szCs w:val="20"/>
        </w:rPr>
        <w:t xml:space="preserve"> des rapports d’étape et des demandes de remboursement. Dix pour cent de la subvention du CIO seront retenus jusqu’à l’achèvement du projet. Par exemple :</w:t>
      </w:r>
    </w:p>
    <w:tbl>
      <w:tblPr>
        <w:tblStyle w:val="TableNormal1"/>
        <w:tblW w:w="0" w:type="auto"/>
        <w:tblInd w:w="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1"/>
        <w:gridCol w:w="3319"/>
      </w:tblGrid>
      <w:tr w:rsidR="002C73B8" w14:paraId="19F8511F" w14:textId="77777777">
        <w:trPr>
          <w:trHeight w:val="270"/>
        </w:trPr>
        <w:tc>
          <w:tcPr>
            <w:tcW w:w="3701" w:type="dxa"/>
          </w:tcPr>
          <w:p w14:paraId="19F8511D" w14:textId="78C5D688" w:rsidR="002C73B8" w:rsidRDefault="00835DFA">
            <w:pPr>
              <w:pStyle w:val="TableParagraph"/>
              <w:spacing w:line="251" w:lineRule="exact"/>
              <w:ind w:left="112"/>
            </w:pPr>
            <w:r>
              <w:t>Exemple : Contribution du CIO aux frais généraux de l’établissement</w:t>
            </w:r>
          </w:p>
        </w:tc>
        <w:tc>
          <w:tcPr>
            <w:tcW w:w="3319" w:type="dxa"/>
          </w:tcPr>
          <w:p w14:paraId="19F8511E" w14:textId="77777777" w:rsidR="002C73B8" w:rsidRDefault="00835DFA">
            <w:pPr>
              <w:pStyle w:val="TableParagraph"/>
              <w:spacing w:line="251" w:lineRule="exact"/>
              <w:ind w:left="110"/>
            </w:pPr>
            <w:r>
              <w:t>10 000 $</w:t>
            </w:r>
          </w:p>
        </w:tc>
      </w:tr>
      <w:tr w:rsidR="002C73B8" w14:paraId="19F85122" w14:textId="77777777">
        <w:trPr>
          <w:trHeight w:val="268"/>
        </w:trPr>
        <w:tc>
          <w:tcPr>
            <w:tcW w:w="3701" w:type="dxa"/>
          </w:tcPr>
          <w:p w14:paraId="19F85120" w14:textId="77777777" w:rsidR="002C73B8" w:rsidRDefault="00835DFA">
            <w:pPr>
              <w:pStyle w:val="TableParagraph"/>
              <w:spacing w:line="248" w:lineRule="exact"/>
              <w:ind w:left="112"/>
            </w:pPr>
            <w:r>
              <w:t>Exemple : Montant de la subvention du CIO</w:t>
            </w:r>
          </w:p>
        </w:tc>
        <w:tc>
          <w:tcPr>
            <w:tcW w:w="3319" w:type="dxa"/>
          </w:tcPr>
          <w:p w14:paraId="19F85121" w14:textId="77777777" w:rsidR="002C73B8" w:rsidRDefault="00835DFA">
            <w:pPr>
              <w:pStyle w:val="TableParagraph"/>
              <w:spacing w:line="248" w:lineRule="exact"/>
              <w:ind w:left="110"/>
            </w:pPr>
            <w:r>
              <w:t>100 000 $</w:t>
            </w:r>
          </w:p>
        </w:tc>
      </w:tr>
      <w:tr w:rsidR="002C73B8" w14:paraId="19F85125" w14:textId="77777777">
        <w:trPr>
          <w:trHeight w:val="496"/>
        </w:trPr>
        <w:tc>
          <w:tcPr>
            <w:tcW w:w="3701" w:type="dxa"/>
          </w:tcPr>
          <w:p w14:paraId="19F85123" w14:textId="77777777" w:rsidR="002C73B8" w:rsidRDefault="00835DFA">
            <w:pPr>
              <w:pStyle w:val="TableParagraph"/>
              <w:spacing w:line="258" w:lineRule="exact"/>
              <w:ind w:left="112"/>
            </w:pPr>
            <w:r>
              <w:t>Fonds versés lors du lancement du projet</w:t>
            </w:r>
          </w:p>
        </w:tc>
        <w:tc>
          <w:tcPr>
            <w:tcW w:w="3319" w:type="dxa"/>
          </w:tcPr>
          <w:p w14:paraId="19F85124" w14:textId="77777777" w:rsidR="002C73B8" w:rsidRDefault="00835DFA">
            <w:pPr>
              <w:pStyle w:val="TableParagraph"/>
              <w:spacing w:line="248" w:lineRule="exact"/>
              <w:ind w:left="112"/>
            </w:pPr>
            <w:r>
              <w:t>25 000 $ + 2 500 $ pour les frais généraux de l’établissement [avance]</w:t>
            </w:r>
          </w:p>
        </w:tc>
      </w:tr>
      <w:tr w:rsidR="002C73B8" w14:paraId="19F85128" w14:textId="77777777">
        <w:trPr>
          <w:trHeight w:val="268"/>
        </w:trPr>
        <w:tc>
          <w:tcPr>
            <w:tcW w:w="3701" w:type="dxa"/>
          </w:tcPr>
          <w:p w14:paraId="19F85126" w14:textId="77777777" w:rsidR="002C73B8" w:rsidRDefault="00835DFA">
            <w:pPr>
              <w:pStyle w:val="TableParagraph"/>
              <w:spacing w:line="248" w:lineRule="exact"/>
              <w:ind w:left="112"/>
            </w:pPr>
            <w:r>
              <w:t>Retenue</w:t>
            </w:r>
          </w:p>
        </w:tc>
        <w:tc>
          <w:tcPr>
            <w:tcW w:w="3319" w:type="dxa"/>
          </w:tcPr>
          <w:p w14:paraId="19F85127" w14:textId="77777777" w:rsidR="002C73B8" w:rsidRDefault="00835DFA">
            <w:pPr>
              <w:pStyle w:val="TableParagraph"/>
              <w:spacing w:line="248" w:lineRule="exact"/>
              <w:ind w:left="110"/>
            </w:pPr>
            <w:r>
              <w:t>10 000 $</w:t>
            </w:r>
          </w:p>
        </w:tc>
      </w:tr>
    </w:tbl>
    <w:p w14:paraId="19F85129" w14:textId="77777777" w:rsidR="002C73B8" w:rsidRDefault="002C73B8">
      <w:pPr>
        <w:pStyle w:val="BodyText"/>
      </w:pPr>
    </w:p>
    <w:p w14:paraId="19F8512A" w14:textId="77777777" w:rsidR="002C73B8" w:rsidRPr="00F8144A" w:rsidRDefault="00835DFA">
      <w:pPr>
        <w:pStyle w:val="ListParagraph"/>
        <w:numPr>
          <w:ilvl w:val="0"/>
          <w:numId w:val="3"/>
        </w:numPr>
        <w:tabs>
          <w:tab w:val="left" w:pos="922"/>
        </w:tabs>
        <w:spacing w:before="0"/>
        <w:ind w:right="261"/>
        <w:jc w:val="both"/>
        <w:rPr>
          <w:sz w:val="20"/>
          <w:szCs w:val="20"/>
        </w:rPr>
      </w:pPr>
      <w:r w:rsidRPr="00F8144A">
        <w:rPr>
          <w:sz w:val="20"/>
          <w:szCs w:val="20"/>
        </w:rPr>
        <w:t>Le CIO ne versera pas de fonds avant le lancement du projet et ne sera pas tenu responsable des dépenses engagées pour le projet avant l’approbation de l’attribution. Si, pour quelque raison que ce soit, les exigences relatives au lancement du projet ne sont pas satisfaites dans les 30 jours suivant la date de publication de l’avis d’approbation, l’offre de financement pourra être retirée.</w:t>
      </w:r>
    </w:p>
    <w:p w14:paraId="19F8512B" w14:textId="77777777" w:rsidR="002C73B8" w:rsidRPr="00F8144A" w:rsidRDefault="00835DFA">
      <w:pPr>
        <w:pStyle w:val="ListParagraph"/>
        <w:numPr>
          <w:ilvl w:val="0"/>
          <w:numId w:val="3"/>
        </w:numPr>
        <w:tabs>
          <w:tab w:val="left" w:pos="921"/>
          <w:tab w:val="left" w:pos="922"/>
        </w:tabs>
        <w:spacing w:before="2"/>
        <w:ind w:right="562"/>
        <w:rPr>
          <w:sz w:val="20"/>
          <w:szCs w:val="20"/>
        </w:rPr>
      </w:pPr>
      <w:r w:rsidRPr="00F8144A">
        <w:rPr>
          <w:sz w:val="20"/>
          <w:szCs w:val="20"/>
        </w:rPr>
        <w:t>Toutes les contributions en espèces des partenaires industriels devant être dépensées dans l’établissement d’enseignement postsecondaire doivent être fournies directement à ce dernier. Il peut être demandé à l’établissement de fournir une confirmation de la réception des fonds.</w:t>
      </w:r>
    </w:p>
    <w:p w14:paraId="19F8512C" w14:textId="77777777" w:rsidR="002C73B8" w:rsidRPr="00F8144A" w:rsidRDefault="00835DFA">
      <w:pPr>
        <w:pStyle w:val="ListParagraph"/>
        <w:numPr>
          <w:ilvl w:val="0"/>
          <w:numId w:val="3"/>
        </w:numPr>
        <w:tabs>
          <w:tab w:val="left" w:pos="921"/>
          <w:tab w:val="left" w:pos="922"/>
        </w:tabs>
        <w:ind w:left="923" w:right="706" w:hanging="364"/>
        <w:rPr>
          <w:sz w:val="20"/>
          <w:szCs w:val="20"/>
        </w:rPr>
      </w:pPr>
      <w:r w:rsidRPr="00F8144A">
        <w:rPr>
          <w:sz w:val="20"/>
          <w:szCs w:val="20"/>
        </w:rPr>
        <w:t>La retenue sera versée à la fin du projet, à la réception et à l’approbation des éléments suivants : les rapports d’étape et financiers finaux de tous les intervenants concernés, les résultats et l’attestation de l’établissement d’enseignement concernant l’utilisation des fonds.</w:t>
      </w:r>
    </w:p>
    <w:p w14:paraId="19F8512D" w14:textId="77777777" w:rsidR="002C73B8" w:rsidRDefault="002C73B8">
      <w:pPr>
        <w:pStyle w:val="BodyText"/>
        <w:spacing w:before="10"/>
        <w:rPr>
          <w:sz w:val="19"/>
        </w:rPr>
      </w:pPr>
    </w:p>
    <w:p w14:paraId="19F8512E" w14:textId="77777777" w:rsidR="002C73B8" w:rsidRDefault="00835DFA">
      <w:pPr>
        <w:pStyle w:val="Heading1"/>
      </w:pPr>
      <w:bookmarkStart w:id="37" w:name="Project_Reporting"/>
      <w:bookmarkStart w:id="38" w:name="_bookmark20"/>
      <w:bookmarkEnd w:id="37"/>
      <w:bookmarkEnd w:id="38"/>
      <w:r>
        <w:rPr>
          <w:color w:val="E14E35"/>
        </w:rPr>
        <w:t>Production des rapports du projet</w:t>
      </w:r>
    </w:p>
    <w:p w14:paraId="19F8512F" w14:textId="77777777" w:rsidR="002C73B8" w:rsidRPr="00F8144A" w:rsidRDefault="00835DFA">
      <w:pPr>
        <w:pStyle w:val="BodyText"/>
        <w:spacing w:before="278"/>
        <w:ind w:left="302" w:right="554"/>
        <w:rPr>
          <w:sz w:val="20"/>
          <w:szCs w:val="20"/>
        </w:rPr>
      </w:pPr>
      <w:r w:rsidRPr="00F8144A">
        <w:rPr>
          <w:sz w:val="20"/>
          <w:szCs w:val="20"/>
        </w:rPr>
        <w:t>Les rapports du projet suivants seront requis. Les exigences concernant les rapports relatifs au projet sont une obligation contractuelle. L’absence de rapport constitue une violation du contrat et peut entraîner la résiliation de celui-ci, la perte du financement résiduel du projet ou une demande de restitution des fonds.</w:t>
      </w:r>
    </w:p>
    <w:p w14:paraId="19F85130" w14:textId="77777777" w:rsidR="002C73B8" w:rsidRDefault="00835DFA">
      <w:pPr>
        <w:pStyle w:val="Heading2"/>
        <w:spacing w:before="121" w:line="293" w:lineRule="exact"/>
      </w:pPr>
      <w:bookmarkStart w:id="39" w:name="Final_Progress_and_Claims_Report"/>
      <w:bookmarkStart w:id="40" w:name="_bookmark21"/>
      <w:bookmarkEnd w:id="39"/>
      <w:bookmarkEnd w:id="40"/>
      <w:r>
        <w:rPr>
          <w:color w:val="1F487B"/>
        </w:rPr>
        <w:t>Rapports d’étape finaux et demandes de remboursement</w:t>
      </w:r>
    </w:p>
    <w:p w14:paraId="19F85131" w14:textId="77777777" w:rsidR="002C73B8" w:rsidRPr="00F8144A" w:rsidRDefault="00835DFA">
      <w:pPr>
        <w:pStyle w:val="BodyText"/>
        <w:ind w:left="302" w:right="393"/>
        <w:rPr>
          <w:sz w:val="20"/>
          <w:szCs w:val="20"/>
        </w:rPr>
      </w:pPr>
      <w:r w:rsidRPr="00F8144A">
        <w:rPr>
          <w:sz w:val="20"/>
          <w:szCs w:val="20"/>
        </w:rPr>
        <w:t xml:space="preserve">Un rapport final est requis pour tous les projets. Quarante-cinq jours avant la date d’achèvement prévue du projet, les partenaires de recherche et de l’industrie recevront une notification du système </w:t>
      </w:r>
      <w:proofErr w:type="spellStart"/>
      <w:r w:rsidRPr="00F8144A">
        <w:rPr>
          <w:sz w:val="20"/>
          <w:szCs w:val="20"/>
        </w:rPr>
        <w:t>AccessOCI</w:t>
      </w:r>
      <w:proofErr w:type="spellEnd"/>
      <w:r w:rsidRPr="00F8144A">
        <w:rPr>
          <w:sz w:val="20"/>
          <w:szCs w:val="20"/>
        </w:rPr>
        <w:t xml:space="preserve"> du CIO les invitant à remplir le rapport final du projet, y compris le rapport sur les réclamations comprenant le détail des dépenses admissibles en vue de leur remboursement. Tous les rapports finaux exigés de la part de tous les partenaires doivent être soumis dans les 30 jours suivant la date d’achèvement du projet afin de permettre le versement des sommes retenues et de demeurer en règle sur le plan financier avec le CIO.</w:t>
      </w:r>
    </w:p>
    <w:p w14:paraId="19F85132" w14:textId="77777777" w:rsidR="002C73B8" w:rsidRDefault="002C73B8">
      <w:pPr>
        <w:pStyle w:val="BodyText"/>
        <w:spacing w:before="11"/>
      </w:pPr>
    </w:p>
    <w:p w14:paraId="19F85134" w14:textId="5323C049" w:rsidR="002C73B8" w:rsidRPr="00F8144A" w:rsidRDefault="00835DFA" w:rsidP="009F2034">
      <w:pPr>
        <w:pStyle w:val="BodyText"/>
        <w:ind w:left="302" w:right="254"/>
        <w:rPr>
          <w:sz w:val="20"/>
          <w:szCs w:val="20"/>
        </w:rPr>
      </w:pPr>
      <w:r w:rsidRPr="00F8144A">
        <w:rPr>
          <w:sz w:val="20"/>
          <w:szCs w:val="20"/>
        </w:rPr>
        <w:t xml:space="preserve">Si une prolongation est nécessaire pour terminer le projet, le partenaire de recherche doit en faire la demande avant la date prévue d’achèvement du projet, en utilisant l’onglet « Administration du projet » dans son dossier </w:t>
      </w:r>
      <w:proofErr w:type="spellStart"/>
      <w:r w:rsidRPr="00F8144A">
        <w:rPr>
          <w:sz w:val="20"/>
          <w:szCs w:val="20"/>
        </w:rPr>
        <w:t>AccessOCI</w:t>
      </w:r>
      <w:proofErr w:type="spellEnd"/>
      <w:r w:rsidRPr="00F8144A">
        <w:rPr>
          <w:sz w:val="20"/>
          <w:szCs w:val="20"/>
        </w:rPr>
        <w:t>.</w:t>
      </w:r>
      <w:r w:rsidR="009F2034">
        <w:rPr>
          <w:sz w:val="20"/>
          <w:szCs w:val="20"/>
        </w:rPr>
        <w:t xml:space="preserve"> </w:t>
      </w:r>
      <w:r w:rsidRPr="00F8144A">
        <w:rPr>
          <w:sz w:val="20"/>
          <w:szCs w:val="20"/>
        </w:rPr>
        <w:t>Une prolongation maximale de 3 mois sera autorisée pour les projets d’une durée maximale de 12 mois, et de 6 mois pour les projets d’une durée de 13 à 24 mois.</w:t>
      </w:r>
    </w:p>
    <w:p w14:paraId="19F85135" w14:textId="77777777" w:rsidR="002C73B8" w:rsidRDefault="00835DFA">
      <w:pPr>
        <w:pStyle w:val="Heading2"/>
        <w:spacing w:before="119" w:line="293" w:lineRule="exact"/>
      </w:pPr>
      <w:bookmarkStart w:id="41" w:name="Progress_and_Claims_Reporting"/>
      <w:bookmarkStart w:id="42" w:name="_bookmark22"/>
      <w:bookmarkEnd w:id="41"/>
      <w:bookmarkEnd w:id="42"/>
      <w:r>
        <w:rPr>
          <w:color w:val="1F487B"/>
        </w:rPr>
        <w:t>Rapports d’étape et demandes de remboursement</w:t>
      </w:r>
    </w:p>
    <w:p w14:paraId="19F85136" w14:textId="4FB01479" w:rsidR="002C73B8" w:rsidRDefault="00835DFA" w:rsidP="000B35AD">
      <w:pPr>
        <w:pStyle w:val="BodyText"/>
        <w:ind w:left="284"/>
        <w:jc w:val="both"/>
      </w:pPr>
      <w:r w:rsidRPr="00F8144A">
        <w:rPr>
          <w:sz w:val="20"/>
          <w:szCs w:val="20"/>
        </w:rPr>
        <w:t>À la moitié de l’année [6 mois] du projet, puis tous les six mois</w:t>
      </w:r>
      <w:r w:rsidR="003816C1">
        <w:rPr>
          <w:sz w:val="20"/>
          <w:szCs w:val="20"/>
        </w:rPr>
        <w:t xml:space="preserve"> par la suite</w:t>
      </w:r>
      <w:r w:rsidRPr="00F8144A">
        <w:rPr>
          <w:sz w:val="20"/>
          <w:szCs w:val="20"/>
        </w:rPr>
        <w:t xml:space="preserve"> jusqu'à la fin du projet, le bureau des finances de l’établissement d’enseignement postsecondaire devra soumettre un rapport d’étape et de réclamations. </w:t>
      </w:r>
      <w:r w:rsidR="003816C1">
        <w:rPr>
          <w:sz w:val="20"/>
          <w:szCs w:val="20"/>
        </w:rPr>
        <w:t>Ceux-ci</w:t>
      </w:r>
      <w:r w:rsidRPr="00F8144A">
        <w:rPr>
          <w:sz w:val="20"/>
          <w:szCs w:val="20"/>
        </w:rPr>
        <w:t xml:space="preserve"> serviront à faire le point sur l’avancement du projet et comprennent le détail de</w:t>
      </w:r>
      <w:r w:rsidR="003816C1">
        <w:rPr>
          <w:sz w:val="20"/>
          <w:szCs w:val="20"/>
        </w:rPr>
        <w:t xml:space="preserve"> toutes les</w:t>
      </w:r>
      <w:r w:rsidRPr="00F8144A">
        <w:rPr>
          <w:sz w:val="20"/>
          <w:szCs w:val="20"/>
        </w:rPr>
        <w:t xml:space="preserve"> dépenses admissibles en vue de leur remboursement. Il est possible de faire des réclamations</w:t>
      </w:r>
      <w:r>
        <w:t xml:space="preserve"> </w:t>
      </w:r>
      <w:r w:rsidRPr="00F8144A">
        <w:rPr>
          <w:sz w:val="20"/>
          <w:szCs w:val="20"/>
        </w:rPr>
        <w:t xml:space="preserve">ponctuelles pour des dépenses supplémentaires qui ne figurent pas dans les rapports périodiques. Veuillez communiquer </w:t>
      </w:r>
      <w:r w:rsidRPr="005F4C9D">
        <w:rPr>
          <w:sz w:val="20"/>
          <w:szCs w:val="20"/>
        </w:rPr>
        <w:t>avec le gestionnaire du programme pour demander les rapports trimestriels utilisés à cette fin</w:t>
      </w:r>
      <w:r w:rsidRPr="00F8144A">
        <w:rPr>
          <w:sz w:val="20"/>
          <w:szCs w:val="20"/>
        </w:rPr>
        <w:t>. Le CIO ne versera les fonds qu’après approbation du rapport d’étape et</w:t>
      </w:r>
      <w:r w:rsidR="00F8144A">
        <w:rPr>
          <w:sz w:val="20"/>
          <w:szCs w:val="20"/>
        </w:rPr>
        <w:t xml:space="preserve"> </w:t>
      </w:r>
      <w:r w:rsidR="00F8144A" w:rsidRPr="00C41A7B">
        <w:rPr>
          <w:sz w:val="20"/>
          <w:szCs w:val="20"/>
        </w:rPr>
        <w:t>des demandes de remboursement présentés.</w:t>
      </w:r>
    </w:p>
    <w:p w14:paraId="19F85137" w14:textId="77777777" w:rsidR="002C73B8" w:rsidRDefault="002C73B8">
      <w:pPr>
        <w:sectPr w:rsidR="002C73B8">
          <w:pgSz w:w="12240" w:h="15840"/>
          <w:pgMar w:top="1560" w:right="1120" w:bottom="920" w:left="1140" w:header="293" w:footer="738" w:gutter="0"/>
          <w:cols w:space="720"/>
        </w:sectPr>
      </w:pPr>
    </w:p>
    <w:p w14:paraId="19F8513B" w14:textId="77777777" w:rsidR="002C73B8" w:rsidRDefault="00835DFA">
      <w:pPr>
        <w:pStyle w:val="Heading2"/>
        <w:spacing w:before="120" w:line="293" w:lineRule="exact"/>
        <w:jc w:val="both"/>
      </w:pPr>
      <w:bookmarkStart w:id="43" w:name="Annual_Progress_and_Claims_Reports"/>
      <w:bookmarkStart w:id="44" w:name="_bookmark23"/>
      <w:bookmarkEnd w:id="43"/>
      <w:bookmarkEnd w:id="44"/>
      <w:r>
        <w:rPr>
          <w:color w:val="1F487B"/>
        </w:rPr>
        <w:lastRenderedPageBreak/>
        <w:t>Rapports d’étape annuels et demandes de remboursement</w:t>
      </w:r>
    </w:p>
    <w:p w14:paraId="19F8513C" w14:textId="77777777" w:rsidR="002C73B8" w:rsidRPr="00C41A7B" w:rsidRDefault="00835DFA">
      <w:pPr>
        <w:pStyle w:val="BodyText"/>
        <w:ind w:left="303" w:right="374" w:hanging="2"/>
        <w:jc w:val="both"/>
        <w:rPr>
          <w:sz w:val="20"/>
          <w:szCs w:val="20"/>
        </w:rPr>
      </w:pPr>
      <w:r w:rsidRPr="00C41A7B">
        <w:rPr>
          <w:sz w:val="20"/>
          <w:szCs w:val="20"/>
        </w:rPr>
        <w:t xml:space="preserve">Un rapport annuel est requis pour les projets dont la durée est supérieure à 12 mois. Trente jours avant la fin de cette période, les partenaires de recherche recevront une notification du système </w:t>
      </w:r>
      <w:proofErr w:type="spellStart"/>
      <w:r w:rsidRPr="00C41A7B">
        <w:rPr>
          <w:sz w:val="20"/>
          <w:szCs w:val="20"/>
        </w:rPr>
        <w:t>AccessOCI</w:t>
      </w:r>
      <w:proofErr w:type="spellEnd"/>
      <w:r w:rsidRPr="00C41A7B">
        <w:rPr>
          <w:sz w:val="20"/>
          <w:szCs w:val="20"/>
        </w:rPr>
        <w:t xml:space="preserve"> du CIO les invitant à remplir le rapport annuel.</w:t>
      </w:r>
    </w:p>
    <w:p w14:paraId="19F8513D" w14:textId="77777777" w:rsidR="002C73B8" w:rsidRDefault="00835DFA">
      <w:pPr>
        <w:pStyle w:val="Heading2"/>
        <w:spacing w:before="119" w:line="293" w:lineRule="exact"/>
        <w:jc w:val="both"/>
      </w:pPr>
      <w:bookmarkStart w:id="45" w:name="Retrospective_Survey"/>
      <w:bookmarkStart w:id="46" w:name="_bookmark24"/>
      <w:bookmarkEnd w:id="45"/>
      <w:bookmarkEnd w:id="46"/>
      <w:r>
        <w:rPr>
          <w:color w:val="1F487B"/>
        </w:rPr>
        <w:t>Enquête rétrospective</w:t>
      </w:r>
    </w:p>
    <w:p w14:paraId="19F8513E" w14:textId="77777777" w:rsidR="002C73B8" w:rsidRPr="00C41A7B" w:rsidRDefault="00835DFA">
      <w:pPr>
        <w:pStyle w:val="BodyText"/>
        <w:ind w:left="302" w:right="243"/>
        <w:rPr>
          <w:sz w:val="20"/>
          <w:szCs w:val="20"/>
        </w:rPr>
      </w:pPr>
      <w:r w:rsidRPr="00C41A7B">
        <w:rPr>
          <w:sz w:val="20"/>
          <w:szCs w:val="20"/>
        </w:rPr>
        <w:t>Un, deux et trois ans après l’achèvement du projet, le partenaire industriel recevra un lien l’invitant à répondre à une enquête rétrospective pour permettre au CIO de recueillir des données sur les résultats commerciaux du projet. Ces informations sont requises par le CIO pour l’évaluation des retombées du programme et à des fins d’amélioration continue.</w:t>
      </w:r>
    </w:p>
    <w:p w14:paraId="19F8513F" w14:textId="77777777" w:rsidR="002C73B8" w:rsidRDefault="002C73B8">
      <w:pPr>
        <w:pStyle w:val="BodyText"/>
        <w:spacing w:before="9"/>
        <w:rPr>
          <w:sz w:val="19"/>
        </w:rPr>
      </w:pPr>
    </w:p>
    <w:p w14:paraId="19F85140" w14:textId="77777777" w:rsidR="002C73B8" w:rsidRDefault="00835DFA">
      <w:pPr>
        <w:pStyle w:val="Heading1"/>
        <w:spacing w:before="1"/>
      </w:pPr>
      <w:bookmarkStart w:id="47" w:name="Project_Changes"/>
      <w:bookmarkStart w:id="48" w:name="_bookmark25"/>
      <w:bookmarkEnd w:id="47"/>
      <w:bookmarkEnd w:id="48"/>
      <w:r>
        <w:rPr>
          <w:color w:val="E14E35"/>
        </w:rPr>
        <w:t>Modifications au projet</w:t>
      </w:r>
    </w:p>
    <w:p w14:paraId="19F85141" w14:textId="77777777" w:rsidR="002C73B8" w:rsidRDefault="00835DFA">
      <w:pPr>
        <w:pStyle w:val="Heading2"/>
        <w:spacing w:before="240" w:line="293" w:lineRule="exact"/>
      </w:pPr>
      <w:bookmarkStart w:id="49" w:name="Budget_Variance_Requests"/>
      <w:bookmarkStart w:id="50" w:name="_bookmark26"/>
      <w:bookmarkEnd w:id="49"/>
      <w:bookmarkEnd w:id="50"/>
      <w:r>
        <w:rPr>
          <w:color w:val="1F487B"/>
        </w:rPr>
        <w:t>Demandes de modification en cas d’écart par rapport au budget</w:t>
      </w:r>
    </w:p>
    <w:p w14:paraId="19F85142" w14:textId="01912970" w:rsidR="002C73B8" w:rsidRPr="00C41A7B" w:rsidRDefault="00835DFA">
      <w:pPr>
        <w:pStyle w:val="BodyText"/>
        <w:ind w:left="101" w:right="690" w:hanging="1"/>
        <w:rPr>
          <w:sz w:val="20"/>
          <w:szCs w:val="20"/>
        </w:rPr>
      </w:pPr>
      <w:r w:rsidRPr="00C41A7B">
        <w:rPr>
          <w:sz w:val="20"/>
          <w:szCs w:val="20"/>
        </w:rPr>
        <w:t xml:space="preserve">Pour tout écart de 5 000 $ ou plus par rapport au budget du CIO, ou pour tout report de la date d’achèvement du projet, le partenaire de recherche doit remplir une demande de modification du projet </w:t>
      </w:r>
      <w:r w:rsidRPr="002D4893">
        <w:rPr>
          <w:b/>
          <w:bCs/>
          <w:sz w:val="20"/>
          <w:szCs w:val="20"/>
        </w:rPr>
        <w:t>avant la date d’achèvement,</w:t>
      </w:r>
      <w:r w:rsidRPr="00C41A7B">
        <w:rPr>
          <w:sz w:val="20"/>
          <w:szCs w:val="20"/>
        </w:rPr>
        <w:t xml:space="preserve"> </w:t>
      </w:r>
      <w:r w:rsidR="002B6CD5">
        <w:rPr>
          <w:sz w:val="20"/>
          <w:szCs w:val="20"/>
        </w:rPr>
        <w:t>au moyen de</w:t>
      </w:r>
      <w:r w:rsidRPr="00C41A7B">
        <w:rPr>
          <w:sz w:val="20"/>
          <w:szCs w:val="20"/>
        </w:rPr>
        <w:t xml:space="preserve"> l’onglet « Administration du projet » dans le dossier </w:t>
      </w:r>
      <w:proofErr w:type="spellStart"/>
      <w:r w:rsidRPr="00C41A7B">
        <w:rPr>
          <w:sz w:val="20"/>
          <w:szCs w:val="20"/>
        </w:rPr>
        <w:t>AccessOCI</w:t>
      </w:r>
      <w:proofErr w:type="spellEnd"/>
      <w:r w:rsidR="002B6CD5">
        <w:rPr>
          <w:sz w:val="20"/>
          <w:szCs w:val="20"/>
        </w:rPr>
        <w:t>, en prenant soin de fournir des raisons suffisantes aux fins d’examen et d’approbation</w:t>
      </w:r>
      <w:r w:rsidRPr="00C41A7B">
        <w:rPr>
          <w:sz w:val="20"/>
          <w:szCs w:val="20"/>
        </w:rPr>
        <w:t>.</w:t>
      </w:r>
    </w:p>
    <w:p w14:paraId="19F85143" w14:textId="77777777" w:rsidR="002C73B8" w:rsidRDefault="002C73B8">
      <w:pPr>
        <w:pStyle w:val="BodyText"/>
        <w:spacing w:before="10"/>
        <w:rPr>
          <w:sz w:val="21"/>
        </w:rPr>
      </w:pPr>
    </w:p>
    <w:p w14:paraId="19F85144" w14:textId="77777777" w:rsidR="002C73B8" w:rsidRDefault="00835DFA">
      <w:pPr>
        <w:pStyle w:val="Heading2"/>
        <w:spacing w:before="1" w:line="293" w:lineRule="exact"/>
      </w:pPr>
      <w:bookmarkStart w:id="51" w:name="Project_Extension_Requests"/>
      <w:bookmarkStart w:id="52" w:name="_bookmark27"/>
      <w:bookmarkEnd w:id="51"/>
      <w:bookmarkEnd w:id="52"/>
      <w:r>
        <w:rPr>
          <w:color w:val="1F487B"/>
        </w:rPr>
        <w:t>Demandes de prolongation de projet</w:t>
      </w:r>
    </w:p>
    <w:p w14:paraId="7B099683" w14:textId="2BD05504" w:rsidR="00DD1AC2" w:rsidRPr="005646F2" w:rsidRDefault="00DD1AC2" w:rsidP="00DD1AC2">
      <w:pPr>
        <w:pStyle w:val="BodyText"/>
        <w:ind w:left="100" w:right="243"/>
        <w:rPr>
          <w:sz w:val="20"/>
          <w:szCs w:val="20"/>
        </w:rPr>
      </w:pPr>
      <w:r w:rsidRPr="005646F2">
        <w:rPr>
          <w:sz w:val="20"/>
          <w:szCs w:val="20"/>
        </w:rPr>
        <w:t>Une prolongation maximale de 3</w:t>
      </w:r>
      <w:r w:rsidR="003B670E" w:rsidRPr="005646F2">
        <w:rPr>
          <w:sz w:val="20"/>
          <w:szCs w:val="20"/>
        </w:rPr>
        <w:t> </w:t>
      </w:r>
      <w:r w:rsidRPr="005646F2">
        <w:rPr>
          <w:sz w:val="20"/>
          <w:szCs w:val="20"/>
        </w:rPr>
        <w:t>mois sera autorisée pour les projets d’une durée allant jusqu’à 12</w:t>
      </w:r>
      <w:r w:rsidR="003B670E" w:rsidRPr="005646F2">
        <w:rPr>
          <w:sz w:val="20"/>
          <w:szCs w:val="20"/>
        </w:rPr>
        <w:t> </w:t>
      </w:r>
      <w:r w:rsidRPr="005646F2">
        <w:rPr>
          <w:sz w:val="20"/>
          <w:szCs w:val="20"/>
        </w:rPr>
        <w:t>mois, et de 6</w:t>
      </w:r>
      <w:r w:rsidR="003B670E" w:rsidRPr="005646F2">
        <w:rPr>
          <w:sz w:val="20"/>
          <w:szCs w:val="20"/>
        </w:rPr>
        <w:t> </w:t>
      </w:r>
      <w:r w:rsidRPr="005646F2">
        <w:rPr>
          <w:sz w:val="20"/>
          <w:szCs w:val="20"/>
        </w:rPr>
        <w:t>mois pour les projets d’une durée de 13 à 24</w:t>
      </w:r>
      <w:r w:rsidR="003B670E" w:rsidRPr="005646F2">
        <w:rPr>
          <w:sz w:val="20"/>
          <w:szCs w:val="20"/>
        </w:rPr>
        <w:t> </w:t>
      </w:r>
      <w:r w:rsidRPr="005646F2">
        <w:rPr>
          <w:sz w:val="20"/>
          <w:szCs w:val="20"/>
        </w:rPr>
        <w:t xml:space="preserve">mois. L’organisme ayant présenté la demande devra fournir des raisons suffisantes ainsi qu’une approbation de la part du partenaire industriel. </w:t>
      </w:r>
      <w:r w:rsidRPr="005646F2">
        <w:rPr>
          <w:b/>
          <w:bCs/>
          <w:sz w:val="20"/>
          <w:szCs w:val="20"/>
        </w:rPr>
        <w:t>La demande de modification du projet doit être soumise au CIO avant la date d’achèvement du projet.</w:t>
      </w:r>
    </w:p>
    <w:p w14:paraId="207AEDB4" w14:textId="77777777" w:rsidR="00DD1AC2" w:rsidRPr="001C753F" w:rsidRDefault="00DD1AC2" w:rsidP="00DD1AC2">
      <w:pPr>
        <w:pStyle w:val="BodyText"/>
        <w:ind w:left="100" w:right="243"/>
        <w:rPr>
          <w:sz w:val="20"/>
          <w:szCs w:val="20"/>
          <w:highlight w:val="yellow"/>
        </w:rPr>
      </w:pPr>
    </w:p>
    <w:p w14:paraId="19F85147" w14:textId="24EC836F" w:rsidR="002C73B8" w:rsidRPr="00C41A7B" w:rsidRDefault="00DD1AC2" w:rsidP="00DD1AC2">
      <w:pPr>
        <w:pStyle w:val="BodyText"/>
        <w:ind w:left="100" w:right="243"/>
        <w:rPr>
          <w:sz w:val="20"/>
          <w:szCs w:val="20"/>
        </w:rPr>
      </w:pPr>
      <w:r w:rsidRPr="005646F2">
        <w:rPr>
          <w:sz w:val="20"/>
          <w:szCs w:val="20"/>
        </w:rPr>
        <w:t>Pour toute autre modification importante au projet, y compris, sans s’y limiter, les changements liés au partenaire de recherche, au partenaire industriel, à la portée du travail ou aux dépenses admissibles du projet, les partenaires doivent communiquer avec le gestionnaire du programme dès que les changements sont connus.</w:t>
      </w:r>
    </w:p>
    <w:p w14:paraId="19F85148" w14:textId="77777777" w:rsidR="002C73B8" w:rsidRDefault="002C73B8">
      <w:pPr>
        <w:pStyle w:val="BodyText"/>
        <w:spacing w:before="10"/>
        <w:rPr>
          <w:sz w:val="19"/>
        </w:rPr>
      </w:pPr>
    </w:p>
    <w:p w14:paraId="19F85149" w14:textId="77777777" w:rsidR="002C73B8" w:rsidRDefault="00835DFA">
      <w:pPr>
        <w:pStyle w:val="Heading1"/>
      </w:pPr>
      <w:bookmarkStart w:id="53" w:name="Contacts"/>
      <w:bookmarkStart w:id="54" w:name="_bookmark28"/>
      <w:bookmarkEnd w:id="53"/>
      <w:bookmarkEnd w:id="54"/>
      <w:r>
        <w:rPr>
          <w:color w:val="E14E35"/>
        </w:rPr>
        <w:t>Personnes-ressources</w:t>
      </w:r>
    </w:p>
    <w:p w14:paraId="19F8514A" w14:textId="5FF09C65" w:rsidR="002C73B8" w:rsidRPr="00C41A7B" w:rsidRDefault="00835DFA" w:rsidP="00944AF8">
      <w:pPr>
        <w:pStyle w:val="BodyText"/>
        <w:spacing w:before="278"/>
        <w:ind w:left="142" w:right="341" w:hanging="1"/>
        <w:rPr>
          <w:sz w:val="20"/>
          <w:szCs w:val="20"/>
        </w:rPr>
      </w:pPr>
      <w:r w:rsidRPr="00C41A7B">
        <w:rPr>
          <w:sz w:val="20"/>
          <w:szCs w:val="20"/>
        </w:rPr>
        <w:t xml:space="preserve">Pour toute question concernant les lignes directrices du programme, l’admissibilité et la soumission de la demande en ligne, veuillez communiquer avec votre </w:t>
      </w:r>
      <w:hyperlink r:id="rId30">
        <w:r w:rsidRPr="00C41A7B">
          <w:rPr>
            <w:color w:val="0000FF"/>
            <w:sz w:val="20"/>
            <w:szCs w:val="20"/>
            <w:u w:val="single" w:color="0000FF"/>
          </w:rPr>
          <w:t>gestionnaire en développement commercial (GDC)</w:t>
        </w:r>
      </w:hyperlink>
      <w:r w:rsidRPr="00C41A7B">
        <w:rPr>
          <w:color w:val="0000FF"/>
          <w:sz w:val="20"/>
          <w:szCs w:val="20"/>
        </w:rPr>
        <w:t xml:space="preserve"> </w:t>
      </w:r>
      <w:r w:rsidRPr="00C41A7B">
        <w:rPr>
          <w:sz w:val="20"/>
          <w:szCs w:val="20"/>
        </w:rPr>
        <w:t>du CIO</w:t>
      </w:r>
      <w:r w:rsidR="00F64FD3">
        <w:rPr>
          <w:sz w:val="20"/>
          <w:szCs w:val="20"/>
        </w:rPr>
        <w:t xml:space="preserve"> </w:t>
      </w:r>
      <w:proofErr w:type="gramStart"/>
      <w:r w:rsidR="00F64FD3">
        <w:rPr>
          <w:sz w:val="20"/>
          <w:szCs w:val="20"/>
        </w:rPr>
        <w:t>ou</w:t>
      </w:r>
      <w:proofErr w:type="gramEnd"/>
    </w:p>
    <w:p w14:paraId="19F85150" w14:textId="77777777" w:rsidR="002C73B8" w:rsidRDefault="002C73B8">
      <w:pPr>
        <w:pStyle w:val="BodyText"/>
        <w:spacing w:before="6"/>
        <w:rPr>
          <w:sz w:val="17"/>
        </w:rPr>
      </w:pPr>
    </w:p>
    <w:p w14:paraId="5BA79A16" w14:textId="77777777" w:rsidR="0069718E" w:rsidRDefault="00835DFA" w:rsidP="00944AF8">
      <w:pPr>
        <w:spacing w:before="56"/>
        <w:ind w:left="142" w:right="7286" w:hanging="3"/>
        <w:rPr>
          <w:b/>
          <w:color w:val="E14E35"/>
        </w:rPr>
      </w:pPr>
      <w:r>
        <w:rPr>
          <w:b/>
          <w:color w:val="E14E35"/>
        </w:rPr>
        <w:t xml:space="preserve">Jeffrey Peng </w:t>
      </w:r>
    </w:p>
    <w:p w14:paraId="1AC8D5B1" w14:textId="01A0FB95" w:rsidR="00C41A7B" w:rsidRPr="0069718E" w:rsidRDefault="00835DFA" w:rsidP="00B8236C">
      <w:pPr>
        <w:pStyle w:val="BodyText"/>
        <w:ind w:left="142" w:right="3459"/>
        <w:rPr>
          <w:sz w:val="20"/>
          <w:szCs w:val="20"/>
        </w:rPr>
      </w:pPr>
      <w:r w:rsidRPr="0069718E">
        <w:rPr>
          <w:sz w:val="20"/>
          <w:szCs w:val="20"/>
        </w:rPr>
        <w:t xml:space="preserve">Gestionnaire </w:t>
      </w:r>
      <w:r w:rsidR="000638D6">
        <w:rPr>
          <w:sz w:val="20"/>
          <w:szCs w:val="20"/>
        </w:rPr>
        <w:t>du</w:t>
      </w:r>
      <w:r w:rsidRPr="0069718E">
        <w:rPr>
          <w:sz w:val="20"/>
          <w:szCs w:val="20"/>
        </w:rPr>
        <w:t xml:space="preserve"> programme</w:t>
      </w:r>
    </w:p>
    <w:p w14:paraId="19F85151" w14:textId="2C502C86" w:rsidR="002C73B8" w:rsidRPr="0069718E" w:rsidRDefault="00835DFA" w:rsidP="00B8236C">
      <w:pPr>
        <w:spacing w:before="56"/>
        <w:ind w:left="142" w:right="7855" w:hanging="3"/>
        <w:rPr>
          <w:sz w:val="20"/>
          <w:szCs w:val="20"/>
        </w:rPr>
      </w:pPr>
      <w:r w:rsidRPr="0069718E">
        <w:rPr>
          <w:sz w:val="20"/>
          <w:szCs w:val="20"/>
        </w:rPr>
        <w:t>Tél. : 647 637-3405</w:t>
      </w:r>
    </w:p>
    <w:p w14:paraId="19F85152" w14:textId="77777777" w:rsidR="002C73B8" w:rsidRPr="0069718E" w:rsidRDefault="00835DFA" w:rsidP="00B8236C">
      <w:pPr>
        <w:pStyle w:val="BodyText"/>
        <w:spacing w:line="267" w:lineRule="exact"/>
        <w:ind w:left="142"/>
        <w:rPr>
          <w:sz w:val="20"/>
          <w:szCs w:val="20"/>
        </w:rPr>
      </w:pPr>
      <w:r w:rsidRPr="0069718E">
        <w:rPr>
          <w:sz w:val="20"/>
          <w:szCs w:val="20"/>
        </w:rPr>
        <w:t xml:space="preserve">Courriel : </w:t>
      </w:r>
      <w:hyperlink r:id="rId31">
        <w:r w:rsidRPr="0069718E">
          <w:rPr>
            <w:color w:val="0000FF"/>
            <w:sz w:val="20"/>
            <w:szCs w:val="20"/>
            <w:u w:val="single" w:color="0000FF"/>
          </w:rPr>
          <w:t>jpeng@oc-innovation.ca</w:t>
        </w:r>
      </w:hyperlink>
    </w:p>
    <w:p w14:paraId="19F85153" w14:textId="77777777" w:rsidR="002C73B8" w:rsidRDefault="002C73B8">
      <w:pPr>
        <w:pStyle w:val="BodyText"/>
        <w:spacing w:before="5"/>
        <w:rPr>
          <w:sz w:val="17"/>
        </w:rPr>
      </w:pPr>
    </w:p>
    <w:p w14:paraId="19F85154" w14:textId="492231EE" w:rsidR="002C73B8" w:rsidRDefault="00835DFA" w:rsidP="00B8236C">
      <w:pPr>
        <w:pStyle w:val="BodyText"/>
        <w:spacing w:before="56"/>
        <w:ind w:left="142"/>
      </w:pPr>
      <w:r>
        <w:t xml:space="preserve">Mise à jour : </w:t>
      </w:r>
      <w:r w:rsidR="00B665BA">
        <w:t>5 octobre</w:t>
      </w:r>
      <w:r>
        <w:t xml:space="preserve"> 2024</w:t>
      </w:r>
    </w:p>
    <w:sectPr w:rsidR="002C73B8">
      <w:pgSz w:w="12240" w:h="15840"/>
      <w:pgMar w:top="1560" w:right="1120" w:bottom="920" w:left="1140" w:header="293" w:footer="73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Isabelle Lagacé" w:date="2024-07-23T15:49:00Z" w:initials="IL">
    <w:p w14:paraId="40B21B22" w14:textId="77777777" w:rsidR="003600E6" w:rsidRDefault="00796CAD" w:rsidP="003600E6">
      <w:pPr>
        <w:pStyle w:val="CommentText"/>
      </w:pPr>
      <w:r>
        <w:rPr>
          <w:rStyle w:val="CommentReference"/>
        </w:rPr>
        <w:annotationRef/>
      </w:r>
      <w:r w:rsidR="003600E6">
        <w:t>Recherche de projets (développement commercial) Sélection de projets* Lancement de la demande</w:t>
      </w:r>
    </w:p>
    <w:p w14:paraId="0BC7C9E3" w14:textId="77777777" w:rsidR="003600E6" w:rsidRDefault="003600E6" w:rsidP="003600E6">
      <w:pPr>
        <w:pStyle w:val="CommentText"/>
      </w:pPr>
    </w:p>
    <w:p w14:paraId="0A98B779" w14:textId="77777777" w:rsidR="003600E6" w:rsidRDefault="003600E6" w:rsidP="003600E6">
      <w:pPr>
        <w:pStyle w:val="CommentText"/>
      </w:pPr>
      <w:r>
        <w:t>Soumission de la demande*  Examen externe et décision du CIO*  Examen financier</w:t>
      </w:r>
    </w:p>
    <w:p w14:paraId="1FC364AA" w14:textId="77777777" w:rsidR="003600E6" w:rsidRDefault="003600E6" w:rsidP="003600E6">
      <w:pPr>
        <w:pStyle w:val="CommentText"/>
      </w:pPr>
    </w:p>
    <w:p w14:paraId="25F9A114" w14:textId="77777777" w:rsidR="003600E6" w:rsidRDefault="003600E6" w:rsidP="003600E6">
      <w:pPr>
        <w:pStyle w:val="CommentText"/>
      </w:pPr>
      <w:r>
        <w:t>Signature des ententes de financement Versement des fonds et activation des subventions  Rapports (semestriels) et enquête rétrospective annuelle pendant trois ans</w:t>
      </w:r>
    </w:p>
    <w:p w14:paraId="74A55581" w14:textId="77777777" w:rsidR="003600E6" w:rsidRDefault="003600E6" w:rsidP="003600E6">
      <w:pPr>
        <w:pStyle w:val="CommentText"/>
      </w:pPr>
    </w:p>
    <w:p w14:paraId="05CE1C85" w14:textId="77777777" w:rsidR="003600E6" w:rsidRDefault="003600E6" w:rsidP="003600E6">
      <w:pPr>
        <w:pStyle w:val="CommentText"/>
        <w:numPr>
          <w:ilvl w:val="0"/>
          <w:numId w:val="14"/>
        </w:numPr>
      </w:pPr>
      <w:r>
        <w:t xml:space="preserve">Y compris le CRSNG </w:t>
      </w:r>
      <w:r>
        <w:rPr>
          <w:color w:val="000000"/>
        </w:rPr>
        <w:t>en cas de partenariat</w:t>
      </w:r>
      <w:r>
        <w:t xml:space="preserve"> </w:t>
      </w:r>
    </w:p>
    <w:p w14:paraId="038567D8" w14:textId="77777777" w:rsidR="003600E6" w:rsidRDefault="003600E6" w:rsidP="003600E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38567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1F1CA8" w16cex:dateUtc="2024-07-23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38567D8" w16cid:durableId="141F1C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DDD17" w14:textId="77777777" w:rsidR="008273EE" w:rsidRDefault="008273EE">
      <w:r>
        <w:separator/>
      </w:r>
    </w:p>
  </w:endnote>
  <w:endnote w:type="continuationSeparator" w:id="0">
    <w:p w14:paraId="014BBF95" w14:textId="77777777" w:rsidR="008273EE" w:rsidRDefault="008273EE">
      <w:r>
        <w:continuationSeparator/>
      </w:r>
    </w:p>
  </w:endnote>
  <w:endnote w:type="continuationNotice" w:id="1">
    <w:p w14:paraId="1CBC7E77" w14:textId="77777777" w:rsidR="008273EE" w:rsidRDefault="00827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515E" w14:textId="44F30067" w:rsidR="002C73B8" w:rsidRDefault="0033364A">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19F85166" wp14:editId="3AABBAC4">
              <wp:simplePos x="0" y="0"/>
              <wp:positionH relativeFrom="page">
                <wp:posOffset>775335</wp:posOffset>
              </wp:positionH>
              <wp:positionV relativeFrom="page">
                <wp:posOffset>9444990</wp:posOffset>
              </wp:positionV>
              <wp:extent cx="3370580" cy="165735"/>
              <wp:effectExtent l="0" t="0" r="7620" b="12065"/>
              <wp:wrapNone/>
              <wp:docPr id="90584037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0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85168" w14:textId="77777777" w:rsidR="002C73B8" w:rsidRDefault="00835DFA">
                          <w:pPr>
                            <w:pStyle w:val="BodyText"/>
                            <w:spacing w:line="245" w:lineRule="exact"/>
                            <w:ind w:left="20"/>
                          </w:pPr>
                          <w:r>
                            <w:t>CIO - Lignes directrices du programme CPC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5166" id="_x0000_t202" coordsize="21600,21600" o:spt="202" path="m,l,21600r21600,l21600,xe">
              <v:stroke joinstyle="miter"/>
              <v:path gradientshapeok="t" o:connecttype="rect"/>
            </v:shapetype>
            <v:shape id="docshape2" o:spid="_x0000_s1026" type="#_x0000_t202" style="position:absolute;margin-left:61.05pt;margin-top:743.7pt;width:265.4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33bBxgEAAHoDAAAOAAAAZHJzL2Uyb0RvYy54bWysU9tu2zAMfR+wfxD0vthpkLYw4hTbig4D&#13;&#10;ugvQ7QMUWYqF2aJGKrGzrx8lx+kub8NeBJqkjs45pDd3Y9+Jo0Fy4Gu5XJRSGK+hcX5fy69fHl7d&#13;&#10;SkFR+UZ14E0tT4bk3fbli80QKnMFLXSNQcEgnqoh1LKNMVRFQbo1vaIFBOO5aAF7FfkT90WDamD0&#13;&#10;viuuyvK6GACbgKANEWfvp6LcZnxrjY6frCUTRVdL5hbzifncpbPYblS1RxVap8801D+w6JXz/OgF&#13;&#10;6l5FJQ7o/oLqnUYgsHGhoS/AWqdN1sBqluUfap5aFUzWwuZQuNhE/w9Wfzw+hc8o4vgGRh5gFkHh&#13;&#10;EfQ3Ym+KIVB17kmeUkWpezd8gIanqQ4R8o3RYp/ksyDBMOz06eKuGaPQnFytbsr1LZc015bX65vV&#13;&#10;OtlfqGq+HZDiOwO9SEEtkaeX0dXxkeLUOrekxzw8uK7LE+z8bwnGTJnMPhGeqMdxN3J3UrGD5sQ6&#13;&#10;EKaF4AXmoAX8IcXAy1BL+n5QaKTo3nt2O23OHOAc7OZAec1XaxmlmMK3cdqwQ0C3bxl5stXDa/bL&#13;&#10;uizlmcWZJw84m3FexrRBv37nrudfZvsTAAD//wMAUEsDBBQABgAIAAAAIQBbNmOB5gAAABIBAAAP&#13;&#10;AAAAZHJzL2Rvd25yZXYueG1sTE/LTsMwELwj8Q/WInGjTkzTRxqnQq0qDqiHFpB6dGMTR8R2ZLup&#13;&#10;+/csJ7isdnZnZ2eqdTI9GZUPnbMc8kkGRNnGyc62HD7ed08LICEKK0XvrOJwUwHW9f1dJUrprvag&#13;&#10;xmNsCYrYUAoOOsahpDQ0WhkRJm5QFndfzhsREfqWSi+uKG56yrJsRo3oLH7QYlAbrZrv48Vw+NwM&#13;&#10;u7d00mI/FvJ1y+aHm28S548PabvC8rICElWKfxfwmwH9Q43Gzu5iZSA9YsZypGIzXcynQJAyK9gS&#13;&#10;yBlHRf5cAK0r+j9K/QMAAP//AwBQSwECLQAUAAYACAAAACEAtoM4kv4AAADhAQAAEwAAAAAAAAAA&#13;&#10;AAAAAAAAAAAAW0NvbnRlbnRfVHlwZXNdLnhtbFBLAQItABQABgAIAAAAIQA4/SH/1gAAAJQBAAAL&#13;&#10;AAAAAAAAAAAAAAAAAC8BAABfcmVscy8ucmVsc1BLAQItABQABgAIAAAAIQAT33bBxgEAAHoDAAAO&#13;&#10;AAAAAAAAAAAAAAAAAC4CAABkcnMvZTJvRG9jLnhtbFBLAQItABQABgAIAAAAIQBbNmOB5gAAABIB&#13;&#10;AAAPAAAAAAAAAAAAAAAAACAEAABkcnMvZG93bnJldi54bWxQSwUGAAAAAAQABADzAAAAMwUAAAAA&#13;&#10;" filled="f" stroked="f">
              <v:path arrowok="t"/>
              <v:textbox inset="0,0,0,0">
                <w:txbxContent>
                  <w:p w14:paraId="19F85168" w14:textId="77777777" w:rsidR="002C73B8" w:rsidRDefault="00835DFA">
                    <w:pPr>
                      <w:pStyle w:val="BodyText"/>
                      <w:spacing w:line="245" w:lineRule="exact"/>
                      <w:ind w:left="20"/>
                    </w:pPr>
                    <w:r>
                      <w:t>CIO - Lignes directrices du programme CPC</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19F85165" wp14:editId="6928BCF4">
              <wp:simplePos x="0" y="0"/>
              <wp:positionH relativeFrom="page">
                <wp:posOffset>769620</wp:posOffset>
              </wp:positionH>
              <wp:positionV relativeFrom="page">
                <wp:posOffset>9411970</wp:posOffset>
              </wp:positionV>
              <wp:extent cx="6247130" cy="6350"/>
              <wp:effectExtent l="0" t="0" r="1270" b="6350"/>
              <wp:wrapNone/>
              <wp:docPr id="168404900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71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55038" id="docshape1" o:spid="_x0000_s1026" style="position:absolute;margin-left:60.6pt;margin-top:741.1pt;width:491.9pt;height:.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dW42AEAAJwDAAAOAAAAZHJzL2Uyb0RvYy54bWysU2Fv0zAQ/Y7Ef7D8nabtuo5FTSe0aghp&#13;&#10;MKTBD3AcJ7FwfObObVp+PWe36yr4hlAky+e7e773/LK62w9O7AySBV/J2WQqhfEaGuu7Sn7/9vDu&#13;&#10;vRQUlW+UA28qeTAk79Zv36zGUJo59OAag4JBPJVjqGQfYyiLgnRvBkUTCMZzsgUcVOQQu6JBNTL6&#13;&#10;4Ir5dLosRsAmIGhDxKebY1KuM37bGh2f2pZMFK6SPFvMK+a1TmuxXqmyQxV6q09jqH+YYlDW86Vn&#13;&#10;qI2KSmzR/gU1WI1A0MaJhqGAtrXaZA7MZjb9g81zr4LJXFgcCmeZ6P/B6i+75/AV0+gUHkH/IFak&#13;&#10;GAOV50wKiGtEPX6Ght9QbSNksvsWh9TJNMQ+a3o4a2r2UWg+XM4XN7Mrll5zbnl1nSUvVPnSG5Di&#13;&#10;RwODSJtKIr9Yxla7R4ppFlW+lOQhwdnmwTqXA+zqe4dip/h1N7fpSw/KLXRZ5nwq9pDajul0kkkm&#13;&#10;XskrVNbQHJgjwtEibGne9IC/pBjZHpWkn1uFRgr3ybP+t7PFIvkpB4vrmzkHeJmpLzPKa4aqZJTi&#13;&#10;uL2PRw9uA9qu55tmmbSHD6xtazPx16lOw7IFMrmTXZPHLuNc9fpTrX8DAAD//wMAUEsDBBQABgAI&#13;&#10;AAAAIQCPRDOt5AAAABMBAAAPAAAAZHJzL2Rvd25yZXYueG1sTE9NT8MwDL0j8R8iI3FjaTNgU9d0&#13;&#10;4kOTEAKhfUhcvca0VZukarKt/Hs8LnCxnu3n5/fy5Wg7caQhNN5pSCcJCHKlN42rNOy2q5s5iBDR&#13;&#10;Gey8Iw3fFGBZXF7kmBl/cms6bmIlWMSFDDXUMfaZlKGsyWKY+J4c7778YDFyO1TSDHhicdtJlST3&#13;&#10;0mLj+EONPT3VVLabg9WgVu2L2j3Otu9j237ix2sZq+mb1tdX4/OCy8MCRKQx/l3AOQP7h4KN7f3B&#13;&#10;mSA67lWqmMrgdq4YnSlpcsch97+zqQJZ5PJ/luIHAAD//wMAUEsBAi0AFAAGAAgAAAAhALaDOJL+&#13;&#10;AAAA4QEAABMAAAAAAAAAAAAAAAAAAAAAAFtDb250ZW50X1R5cGVzXS54bWxQSwECLQAUAAYACAAA&#13;&#10;ACEAOP0h/9YAAACUAQAACwAAAAAAAAAAAAAAAAAvAQAAX3JlbHMvLnJlbHNQSwECLQAUAAYACAAA&#13;&#10;ACEAkjXVuNgBAACcAwAADgAAAAAAAAAAAAAAAAAuAgAAZHJzL2Uyb0RvYy54bWxQSwECLQAUAAYA&#13;&#10;CAAAACEAj0QzreQAAAATAQAADwAAAAAAAAAAAAAAAAAyBAAAZHJzL2Rvd25yZXYueG1sUEsFBgAA&#13;&#10;AAAEAAQA8wAAAEMFAAAAAA==&#13;&#10;" fillcolor="#d9d9d9" stroked="f">
              <v:path arrowok="t"/>
              <w10:wrap anchorx="page" anchory="page"/>
            </v:rect>
          </w:pict>
        </mc:Fallback>
      </mc:AlternateContent>
    </w:r>
    <w:r>
      <w:rPr>
        <w:noProof/>
      </w:rPr>
      <mc:AlternateContent>
        <mc:Choice Requires="wps">
          <w:drawing>
            <wp:anchor distT="0" distB="0" distL="114300" distR="114300" simplePos="0" relativeHeight="251658245" behindDoc="1" locked="0" layoutInCell="1" allowOverlap="1" wp14:anchorId="19F85167" wp14:editId="5AE5CEFB">
              <wp:simplePos x="0" y="0"/>
              <wp:positionH relativeFrom="page">
                <wp:posOffset>5996940</wp:posOffset>
              </wp:positionH>
              <wp:positionV relativeFrom="page">
                <wp:posOffset>9444990</wp:posOffset>
              </wp:positionV>
              <wp:extent cx="748030" cy="165735"/>
              <wp:effectExtent l="0" t="0" r="1270" b="12065"/>
              <wp:wrapNone/>
              <wp:docPr id="208490156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85169" w14:textId="77777777" w:rsidR="002C73B8" w:rsidRDefault="00835DFA">
                          <w:pPr>
                            <w:pStyle w:val="BodyText"/>
                            <w:spacing w:line="245" w:lineRule="exact"/>
                            <w:ind w:left="60"/>
                          </w:pPr>
                          <w:r>
                            <w:fldChar w:fldCharType="begin"/>
                          </w:r>
                          <w:r>
                            <w:instrText xml:space="preserve"> PAGE </w:instrText>
                          </w:r>
                          <w:r>
                            <w:fldChar w:fldCharType="separate"/>
                          </w:r>
                          <w:r>
                            <w:t>10</w:t>
                          </w:r>
                          <w:r>
                            <w:fldChar w:fldCharType="end"/>
                          </w:r>
                          <w:r>
                            <w:t xml:space="preserve"> | </w:t>
                          </w:r>
                          <w:r>
                            <w:rPr>
                              <w:color w:val="7E7E7E"/>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5167" id="docshape3" o:spid="_x0000_s1027" type="#_x0000_t202" style="position:absolute;margin-left:472.2pt;margin-top:743.7pt;width:58.9pt;height:13.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mRTYygEAAIADAAAOAAAAZHJzL2Uyb0RvYy54bWysU9tu1DAQfUfiHyy/s9lt6UXRZiugKkIq&#13;&#10;FKnwAY5jbywSj5nxbrJ8PWNnswX6VvFiTWbGx+ecmaxvxr4Te4PkwFdytVhKYbyGxvltJb9/u3tz&#13;&#10;LQVF5RvVgTeVPBiSN5vXr9ZDKM0ZtNA1BgWDeCqHUMk2xlAWBenW9IoWEIznogXsVeRP3BYNqoHR&#13;&#10;+644Wy4viwGwCQjaEHH2dirKTca31uj4YC2ZKLpKMreYT8xnnc5is1blFlVonT7SUC9g0Svn+dET&#13;&#10;1K2KSuzQPYPqnUYgsHGhoS/AWqdN1sBqVst/1Dy2Kpishc2hcLKJ/h+s/rJ/DF9RxPE9jDzALILC&#13;&#10;PegfxN4UQ6Dy2JM8pZJSdz18hoanqXYR8o3RYp/ksyDBMOz04eSuGaPQnLx6e70854rm0ury4ur8&#13;&#10;IrlfqHK+HJDiRwO9SEElkYeXwdX+nuLUOrektzzcua7LA+z8XwnGTJlMPvGdmMexHoVrkki+lLTU&#13;&#10;0BxYDcK0FrzGHLSAv6QYeCUqST93Co0U3SfPnqf9mQOcg3oOlNd8tZJRiin8EKc92wV025aRJ3M9&#13;&#10;vGPXrMuKnlgc6fKYsyfHlUx79Od37nr6cTa/AQAA//8DAFBLAwQUAAYACAAAACEAO18OfeYAAAAT&#13;&#10;AQAADwAAAGRycy9kb3ducmV2LnhtbExPQW7CMBC8V+ofrK3UW3FIE6AhDqpAqIeqB2iROJrYTaLG&#13;&#10;68g2wfy+y6m9rGY1s7Mz5Sqano3a+c6igOkkAaaxtqrDRsDX5/ZpAcwHiUr2FrWAq/awqu7vSlko&#13;&#10;e8GdHvehYWSCvpAC2hCGgnNft9pIP7GDRuK+rTMy0Ooarpy8kLnpeZokM25kh/ShlYNet7r+2Z+N&#13;&#10;gMN62L7HYys/xly9bdL57urqKMTjQ9wsabwugQUdw98F3DpQfqgo2MmeUXnWC3jJsoykRGSLOaGb&#13;&#10;JJmlKbAToXz6nAOvSv6/S/ULAAD//wMAUEsBAi0AFAAGAAgAAAAhALaDOJL+AAAA4QEAABMAAAAA&#13;&#10;AAAAAAAAAAAAAAAAAFtDb250ZW50X1R5cGVzXS54bWxQSwECLQAUAAYACAAAACEAOP0h/9YAAACU&#13;&#10;AQAACwAAAAAAAAAAAAAAAAAvAQAAX3JlbHMvLnJlbHNQSwECLQAUAAYACAAAACEAOJkU2MoBAACA&#13;&#10;AwAADgAAAAAAAAAAAAAAAAAuAgAAZHJzL2Uyb0RvYy54bWxQSwECLQAUAAYACAAAACEAO18OfeYA&#13;&#10;AAATAQAADwAAAAAAAAAAAAAAAAAkBAAAZHJzL2Rvd25yZXYueG1sUEsFBgAAAAAEAAQA8wAAADcF&#13;&#10;AAAAAA==&#13;&#10;" filled="f" stroked="f">
              <v:path arrowok="t"/>
              <v:textbox inset="0,0,0,0">
                <w:txbxContent>
                  <w:p w14:paraId="19F85169" w14:textId="77777777" w:rsidR="002C73B8" w:rsidRDefault="00835DFA">
                    <w:pPr>
                      <w:pStyle w:val="BodyText"/>
                      <w:spacing w:line="245" w:lineRule="exact"/>
                      <w:ind w:left="60"/>
                    </w:pPr>
                    <w:r>
                      <w:fldChar w:fldCharType="begin"/>
                    </w:r>
                    <w:r>
                      <w:instrText xml:space="preserve"> PAGE </w:instrText>
                    </w:r>
                    <w:r>
                      <w:fldChar w:fldCharType="separate"/>
                    </w:r>
                    <w:r>
                      <w:t>10</w:t>
                    </w:r>
                    <w:r>
                      <w:fldChar w:fldCharType="end"/>
                    </w:r>
                    <w:r>
                      <w:t xml:space="preserve"> | </w:t>
                    </w:r>
                    <w:r>
                      <w:rPr>
                        <w:color w:val="7E7E7E"/>
                      </w:rPr>
                      <w:t xml:space="preserve">P a g 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7E401" w14:textId="77777777" w:rsidR="008273EE" w:rsidRDefault="008273EE">
      <w:r>
        <w:separator/>
      </w:r>
    </w:p>
  </w:footnote>
  <w:footnote w:type="continuationSeparator" w:id="0">
    <w:p w14:paraId="3EA1DAE6" w14:textId="77777777" w:rsidR="008273EE" w:rsidRDefault="008273EE">
      <w:r>
        <w:continuationSeparator/>
      </w:r>
    </w:p>
  </w:footnote>
  <w:footnote w:type="continuationNotice" w:id="1">
    <w:p w14:paraId="52D145EE" w14:textId="77777777" w:rsidR="008273EE" w:rsidRDefault="008273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8515D" w14:textId="77777777" w:rsidR="002C73B8" w:rsidRDefault="00835DFA">
    <w:pPr>
      <w:pStyle w:val="BodyText"/>
      <w:spacing w:line="14" w:lineRule="auto"/>
      <w:rPr>
        <w:sz w:val="20"/>
      </w:rPr>
    </w:pPr>
    <w:r>
      <w:rPr>
        <w:noProof/>
      </w:rPr>
      <w:drawing>
        <wp:anchor distT="0" distB="0" distL="0" distR="0" simplePos="0" relativeHeight="251658240" behindDoc="1" locked="0" layoutInCell="1" allowOverlap="1" wp14:anchorId="19F8515F" wp14:editId="19F85160">
          <wp:simplePos x="0" y="0"/>
          <wp:positionH relativeFrom="page">
            <wp:posOffset>6077585</wp:posOffset>
          </wp:positionH>
          <wp:positionV relativeFrom="page">
            <wp:posOffset>186054</wp:posOffset>
          </wp:positionV>
          <wp:extent cx="1534794" cy="6140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34794" cy="614043"/>
                  </a:xfrm>
                  <a:prstGeom prst="rect">
                    <a:avLst/>
                  </a:prstGeom>
                </pic:spPr>
              </pic:pic>
            </a:graphicData>
          </a:graphic>
        </wp:anchor>
      </w:drawing>
    </w:r>
    <w:r>
      <w:rPr>
        <w:noProof/>
      </w:rPr>
      <w:drawing>
        <wp:anchor distT="0" distB="0" distL="0" distR="0" simplePos="0" relativeHeight="251658241" behindDoc="1" locked="0" layoutInCell="1" allowOverlap="1" wp14:anchorId="19F85161" wp14:editId="19F85162">
          <wp:simplePos x="0" y="0"/>
          <wp:positionH relativeFrom="page">
            <wp:posOffset>984524</wp:posOffset>
          </wp:positionH>
          <wp:positionV relativeFrom="page">
            <wp:posOffset>220704</wp:posOffset>
          </wp:positionV>
          <wp:extent cx="767747" cy="60168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67747" cy="601685"/>
                  </a:xfrm>
                  <a:prstGeom prst="rect">
                    <a:avLst/>
                  </a:prstGeom>
                </pic:spPr>
              </pic:pic>
            </a:graphicData>
          </a:graphic>
        </wp:anchor>
      </w:drawing>
    </w:r>
    <w:r>
      <w:rPr>
        <w:noProof/>
      </w:rPr>
      <w:drawing>
        <wp:anchor distT="0" distB="0" distL="0" distR="0" simplePos="0" relativeHeight="251658242" behindDoc="1" locked="0" layoutInCell="1" allowOverlap="1" wp14:anchorId="19F85163" wp14:editId="19F85164">
          <wp:simplePos x="0" y="0"/>
          <wp:positionH relativeFrom="page">
            <wp:posOffset>4676775</wp:posOffset>
          </wp:positionH>
          <wp:positionV relativeFrom="page">
            <wp:posOffset>236221</wp:posOffset>
          </wp:positionV>
          <wp:extent cx="1345564" cy="55497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345564" cy="5549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215"/>
    <w:multiLevelType w:val="hybridMultilevel"/>
    <w:tmpl w:val="156C2FEA"/>
    <w:lvl w:ilvl="0" w:tplc="AEF09990">
      <w:numFmt w:val="bullet"/>
      <w:lvlText w:val=""/>
      <w:lvlJc w:val="left"/>
      <w:pPr>
        <w:ind w:left="750" w:hanging="358"/>
      </w:pPr>
      <w:rPr>
        <w:rFonts w:ascii="Symbol" w:eastAsia="Symbol" w:hAnsi="Symbol" w:cs="Symbol" w:hint="default"/>
        <w:b w:val="0"/>
        <w:bCs w:val="0"/>
        <w:i w:val="0"/>
        <w:iCs w:val="0"/>
        <w:w w:val="99"/>
        <w:sz w:val="22"/>
        <w:szCs w:val="22"/>
        <w:lang w:val="en-US" w:eastAsia="en-US" w:bidi="ar-SA"/>
      </w:rPr>
    </w:lvl>
    <w:lvl w:ilvl="1" w:tplc="A53442CE">
      <w:start w:val="1"/>
      <w:numFmt w:val="decimal"/>
      <w:lvlText w:val="%2)"/>
      <w:lvlJc w:val="left"/>
      <w:pPr>
        <w:ind w:left="1540" w:hanging="360"/>
      </w:pPr>
      <w:rPr>
        <w:rFonts w:ascii="Calibri" w:eastAsia="Calibri" w:hAnsi="Calibri" w:cs="Calibri" w:hint="default"/>
        <w:b w:val="0"/>
        <w:bCs w:val="0"/>
        <w:i w:val="0"/>
        <w:iCs w:val="0"/>
        <w:w w:val="100"/>
        <w:sz w:val="22"/>
        <w:szCs w:val="22"/>
        <w:lang w:val="en-US" w:eastAsia="en-US" w:bidi="ar-SA"/>
      </w:rPr>
    </w:lvl>
    <w:lvl w:ilvl="2" w:tplc="3D404CB0">
      <w:numFmt w:val="bullet"/>
      <w:lvlText w:val="•"/>
      <w:lvlJc w:val="left"/>
      <w:pPr>
        <w:ind w:left="2477" w:hanging="360"/>
      </w:pPr>
      <w:rPr>
        <w:rFonts w:hint="default"/>
        <w:lang w:val="en-US" w:eastAsia="en-US" w:bidi="ar-SA"/>
      </w:rPr>
    </w:lvl>
    <w:lvl w:ilvl="3" w:tplc="72E4256E">
      <w:numFmt w:val="bullet"/>
      <w:lvlText w:val="•"/>
      <w:lvlJc w:val="left"/>
      <w:pPr>
        <w:ind w:left="3415" w:hanging="360"/>
      </w:pPr>
      <w:rPr>
        <w:rFonts w:hint="default"/>
        <w:lang w:val="en-US" w:eastAsia="en-US" w:bidi="ar-SA"/>
      </w:rPr>
    </w:lvl>
    <w:lvl w:ilvl="4" w:tplc="59E65EAC">
      <w:numFmt w:val="bullet"/>
      <w:lvlText w:val="•"/>
      <w:lvlJc w:val="left"/>
      <w:pPr>
        <w:ind w:left="4353" w:hanging="360"/>
      </w:pPr>
      <w:rPr>
        <w:rFonts w:hint="default"/>
        <w:lang w:val="en-US" w:eastAsia="en-US" w:bidi="ar-SA"/>
      </w:rPr>
    </w:lvl>
    <w:lvl w:ilvl="5" w:tplc="7B5295FA">
      <w:numFmt w:val="bullet"/>
      <w:lvlText w:val="•"/>
      <w:lvlJc w:val="left"/>
      <w:pPr>
        <w:ind w:left="5291" w:hanging="360"/>
      </w:pPr>
      <w:rPr>
        <w:rFonts w:hint="default"/>
        <w:lang w:val="en-US" w:eastAsia="en-US" w:bidi="ar-SA"/>
      </w:rPr>
    </w:lvl>
    <w:lvl w:ilvl="6" w:tplc="45E83DAC">
      <w:numFmt w:val="bullet"/>
      <w:lvlText w:val="•"/>
      <w:lvlJc w:val="left"/>
      <w:pPr>
        <w:ind w:left="6228" w:hanging="360"/>
      </w:pPr>
      <w:rPr>
        <w:rFonts w:hint="default"/>
        <w:lang w:val="en-US" w:eastAsia="en-US" w:bidi="ar-SA"/>
      </w:rPr>
    </w:lvl>
    <w:lvl w:ilvl="7" w:tplc="4D841C16">
      <w:numFmt w:val="bullet"/>
      <w:lvlText w:val="•"/>
      <w:lvlJc w:val="left"/>
      <w:pPr>
        <w:ind w:left="7166" w:hanging="360"/>
      </w:pPr>
      <w:rPr>
        <w:rFonts w:hint="default"/>
        <w:lang w:val="en-US" w:eastAsia="en-US" w:bidi="ar-SA"/>
      </w:rPr>
    </w:lvl>
    <w:lvl w:ilvl="8" w:tplc="EEBC5A1C">
      <w:numFmt w:val="bullet"/>
      <w:lvlText w:val="•"/>
      <w:lvlJc w:val="left"/>
      <w:pPr>
        <w:ind w:left="8104" w:hanging="360"/>
      </w:pPr>
      <w:rPr>
        <w:rFonts w:hint="default"/>
        <w:lang w:val="en-US" w:eastAsia="en-US" w:bidi="ar-SA"/>
      </w:rPr>
    </w:lvl>
  </w:abstractNum>
  <w:abstractNum w:abstractNumId="1" w15:restartNumberingAfterBreak="0">
    <w:nsid w:val="0E6C055B"/>
    <w:multiLevelType w:val="hybridMultilevel"/>
    <w:tmpl w:val="4164F5DC"/>
    <w:lvl w:ilvl="0" w:tplc="BA70FE8A">
      <w:numFmt w:val="bullet"/>
      <w:lvlText w:val="•"/>
      <w:lvlJc w:val="left"/>
      <w:pPr>
        <w:ind w:left="436" w:hanging="272"/>
      </w:pPr>
      <w:rPr>
        <w:rFonts w:ascii="Calibri" w:eastAsia="Calibri" w:hAnsi="Calibri" w:cs="Calibri" w:hint="default"/>
        <w:b w:val="0"/>
        <w:bCs w:val="0"/>
        <w:i w:val="0"/>
        <w:iCs w:val="0"/>
        <w:w w:val="99"/>
        <w:sz w:val="22"/>
        <w:szCs w:val="22"/>
        <w:lang w:val="en-US" w:eastAsia="en-US" w:bidi="ar-SA"/>
      </w:rPr>
    </w:lvl>
    <w:lvl w:ilvl="1" w:tplc="778CAC82">
      <w:numFmt w:val="bullet"/>
      <w:lvlText w:val="•"/>
      <w:lvlJc w:val="left"/>
      <w:pPr>
        <w:ind w:left="868" w:hanging="272"/>
      </w:pPr>
      <w:rPr>
        <w:rFonts w:hint="default"/>
        <w:lang w:val="en-US" w:eastAsia="en-US" w:bidi="ar-SA"/>
      </w:rPr>
    </w:lvl>
    <w:lvl w:ilvl="2" w:tplc="80A6E81E">
      <w:numFmt w:val="bullet"/>
      <w:lvlText w:val="•"/>
      <w:lvlJc w:val="left"/>
      <w:pPr>
        <w:ind w:left="1296" w:hanging="272"/>
      </w:pPr>
      <w:rPr>
        <w:rFonts w:hint="default"/>
        <w:lang w:val="en-US" w:eastAsia="en-US" w:bidi="ar-SA"/>
      </w:rPr>
    </w:lvl>
    <w:lvl w:ilvl="3" w:tplc="55F62860">
      <w:numFmt w:val="bullet"/>
      <w:lvlText w:val="•"/>
      <w:lvlJc w:val="left"/>
      <w:pPr>
        <w:ind w:left="1724" w:hanging="272"/>
      </w:pPr>
      <w:rPr>
        <w:rFonts w:hint="default"/>
        <w:lang w:val="en-US" w:eastAsia="en-US" w:bidi="ar-SA"/>
      </w:rPr>
    </w:lvl>
    <w:lvl w:ilvl="4" w:tplc="408C8EDC">
      <w:numFmt w:val="bullet"/>
      <w:lvlText w:val="•"/>
      <w:lvlJc w:val="left"/>
      <w:pPr>
        <w:ind w:left="2152" w:hanging="272"/>
      </w:pPr>
      <w:rPr>
        <w:rFonts w:hint="default"/>
        <w:lang w:val="en-US" w:eastAsia="en-US" w:bidi="ar-SA"/>
      </w:rPr>
    </w:lvl>
    <w:lvl w:ilvl="5" w:tplc="02CA60F6">
      <w:numFmt w:val="bullet"/>
      <w:lvlText w:val="•"/>
      <w:lvlJc w:val="left"/>
      <w:pPr>
        <w:ind w:left="2580" w:hanging="272"/>
      </w:pPr>
      <w:rPr>
        <w:rFonts w:hint="default"/>
        <w:lang w:val="en-US" w:eastAsia="en-US" w:bidi="ar-SA"/>
      </w:rPr>
    </w:lvl>
    <w:lvl w:ilvl="6" w:tplc="5C1035A2">
      <w:numFmt w:val="bullet"/>
      <w:lvlText w:val="•"/>
      <w:lvlJc w:val="left"/>
      <w:pPr>
        <w:ind w:left="3008" w:hanging="272"/>
      </w:pPr>
      <w:rPr>
        <w:rFonts w:hint="default"/>
        <w:lang w:val="en-US" w:eastAsia="en-US" w:bidi="ar-SA"/>
      </w:rPr>
    </w:lvl>
    <w:lvl w:ilvl="7" w:tplc="1490444C">
      <w:numFmt w:val="bullet"/>
      <w:lvlText w:val="•"/>
      <w:lvlJc w:val="left"/>
      <w:pPr>
        <w:ind w:left="3436" w:hanging="272"/>
      </w:pPr>
      <w:rPr>
        <w:rFonts w:hint="default"/>
        <w:lang w:val="en-US" w:eastAsia="en-US" w:bidi="ar-SA"/>
      </w:rPr>
    </w:lvl>
    <w:lvl w:ilvl="8" w:tplc="96E6A592">
      <w:numFmt w:val="bullet"/>
      <w:lvlText w:val="•"/>
      <w:lvlJc w:val="left"/>
      <w:pPr>
        <w:ind w:left="3864" w:hanging="272"/>
      </w:pPr>
      <w:rPr>
        <w:rFonts w:hint="default"/>
        <w:lang w:val="en-US" w:eastAsia="en-US" w:bidi="ar-SA"/>
      </w:rPr>
    </w:lvl>
  </w:abstractNum>
  <w:abstractNum w:abstractNumId="2" w15:restartNumberingAfterBreak="0">
    <w:nsid w:val="17932838"/>
    <w:multiLevelType w:val="hybridMultilevel"/>
    <w:tmpl w:val="6076FAF6"/>
    <w:lvl w:ilvl="0" w:tplc="3956E154">
      <w:numFmt w:val="bullet"/>
      <w:lvlText w:val=""/>
      <w:lvlJc w:val="left"/>
      <w:pPr>
        <w:ind w:left="719" w:hanging="360"/>
      </w:pPr>
      <w:rPr>
        <w:rFonts w:ascii="Symbol" w:eastAsia="Symbol" w:hAnsi="Symbol" w:cs="Symbol" w:hint="default"/>
        <w:b w:val="0"/>
        <w:bCs w:val="0"/>
        <w:i w:val="0"/>
        <w:iCs w:val="0"/>
        <w:w w:val="99"/>
        <w:sz w:val="20"/>
        <w:szCs w:val="20"/>
        <w:lang w:val="en-US" w:eastAsia="en-US" w:bidi="ar-SA"/>
      </w:rPr>
    </w:lvl>
    <w:lvl w:ilvl="1" w:tplc="06621E42">
      <w:numFmt w:val="bullet"/>
      <w:lvlText w:val="•"/>
      <w:lvlJc w:val="left"/>
      <w:pPr>
        <w:ind w:left="1330" w:hanging="360"/>
      </w:pPr>
      <w:rPr>
        <w:rFonts w:hint="default"/>
        <w:lang w:val="en-US" w:eastAsia="en-US" w:bidi="ar-SA"/>
      </w:rPr>
    </w:lvl>
    <w:lvl w:ilvl="2" w:tplc="1B6075B6">
      <w:numFmt w:val="bullet"/>
      <w:lvlText w:val="•"/>
      <w:lvlJc w:val="left"/>
      <w:pPr>
        <w:ind w:left="1941" w:hanging="360"/>
      </w:pPr>
      <w:rPr>
        <w:rFonts w:hint="default"/>
        <w:lang w:val="en-US" w:eastAsia="en-US" w:bidi="ar-SA"/>
      </w:rPr>
    </w:lvl>
    <w:lvl w:ilvl="3" w:tplc="67EEAE54">
      <w:numFmt w:val="bullet"/>
      <w:lvlText w:val="•"/>
      <w:lvlJc w:val="left"/>
      <w:pPr>
        <w:ind w:left="2551" w:hanging="360"/>
      </w:pPr>
      <w:rPr>
        <w:rFonts w:hint="default"/>
        <w:lang w:val="en-US" w:eastAsia="en-US" w:bidi="ar-SA"/>
      </w:rPr>
    </w:lvl>
    <w:lvl w:ilvl="4" w:tplc="774C2796">
      <w:numFmt w:val="bullet"/>
      <w:lvlText w:val="•"/>
      <w:lvlJc w:val="left"/>
      <w:pPr>
        <w:ind w:left="3162" w:hanging="360"/>
      </w:pPr>
      <w:rPr>
        <w:rFonts w:hint="default"/>
        <w:lang w:val="en-US" w:eastAsia="en-US" w:bidi="ar-SA"/>
      </w:rPr>
    </w:lvl>
    <w:lvl w:ilvl="5" w:tplc="EF6A6CC4">
      <w:numFmt w:val="bullet"/>
      <w:lvlText w:val="•"/>
      <w:lvlJc w:val="left"/>
      <w:pPr>
        <w:ind w:left="3773" w:hanging="360"/>
      </w:pPr>
      <w:rPr>
        <w:rFonts w:hint="default"/>
        <w:lang w:val="en-US" w:eastAsia="en-US" w:bidi="ar-SA"/>
      </w:rPr>
    </w:lvl>
    <w:lvl w:ilvl="6" w:tplc="1312FE00">
      <w:numFmt w:val="bullet"/>
      <w:lvlText w:val="•"/>
      <w:lvlJc w:val="left"/>
      <w:pPr>
        <w:ind w:left="4383" w:hanging="360"/>
      </w:pPr>
      <w:rPr>
        <w:rFonts w:hint="default"/>
        <w:lang w:val="en-US" w:eastAsia="en-US" w:bidi="ar-SA"/>
      </w:rPr>
    </w:lvl>
    <w:lvl w:ilvl="7" w:tplc="FA02E2B0">
      <w:numFmt w:val="bullet"/>
      <w:lvlText w:val="•"/>
      <w:lvlJc w:val="left"/>
      <w:pPr>
        <w:ind w:left="4994" w:hanging="360"/>
      </w:pPr>
      <w:rPr>
        <w:rFonts w:hint="default"/>
        <w:lang w:val="en-US" w:eastAsia="en-US" w:bidi="ar-SA"/>
      </w:rPr>
    </w:lvl>
    <w:lvl w:ilvl="8" w:tplc="2584C33E">
      <w:numFmt w:val="bullet"/>
      <w:lvlText w:val="•"/>
      <w:lvlJc w:val="left"/>
      <w:pPr>
        <w:ind w:left="5604" w:hanging="360"/>
      </w:pPr>
      <w:rPr>
        <w:rFonts w:hint="default"/>
        <w:lang w:val="en-US" w:eastAsia="en-US" w:bidi="ar-SA"/>
      </w:rPr>
    </w:lvl>
  </w:abstractNum>
  <w:abstractNum w:abstractNumId="3" w15:restartNumberingAfterBreak="0">
    <w:nsid w:val="1B542740"/>
    <w:multiLevelType w:val="hybridMultilevel"/>
    <w:tmpl w:val="D6227302"/>
    <w:lvl w:ilvl="0" w:tplc="8EBC6F22">
      <w:start w:val="1"/>
      <w:numFmt w:val="bullet"/>
      <w:lvlText w:val=""/>
      <w:lvlJc w:val="left"/>
      <w:pPr>
        <w:ind w:left="1020" w:hanging="360"/>
      </w:pPr>
      <w:rPr>
        <w:rFonts w:ascii="Symbol" w:hAnsi="Symbol"/>
      </w:rPr>
    </w:lvl>
    <w:lvl w:ilvl="1" w:tplc="FAAE6C28">
      <w:start w:val="1"/>
      <w:numFmt w:val="bullet"/>
      <w:lvlText w:val=""/>
      <w:lvlJc w:val="left"/>
      <w:pPr>
        <w:ind w:left="1020" w:hanging="360"/>
      </w:pPr>
      <w:rPr>
        <w:rFonts w:ascii="Symbol" w:hAnsi="Symbol"/>
      </w:rPr>
    </w:lvl>
    <w:lvl w:ilvl="2" w:tplc="9348BC52">
      <w:start w:val="1"/>
      <w:numFmt w:val="bullet"/>
      <w:lvlText w:val=""/>
      <w:lvlJc w:val="left"/>
      <w:pPr>
        <w:ind w:left="1020" w:hanging="360"/>
      </w:pPr>
      <w:rPr>
        <w:rFonts w:ascii="Symbol" w:hAnsi="Symbol"/>
      </w:rPr>
    </w:lvl>
    <w:lvl w:ilvl="3" w:tplc="11B4AB88">
      <w:start w:val="1"/>
      <w:numFmt w:val="bullet"/>
      <w:lvlText w:val=""/>
      <w:lvlJc w:val="left"/>
      <w:pPr>
        <w:ind w:left="1020" w:hanging="360"/>
      </w:pPr>
      <w:rPr>
        <w:rFonts w:ascii="Symbol" w:hAnsi="Symbol"/>
      </w:rPr>
    </w:lvl>
    <w:lvl w:ilvl="4" w:tplc="0A2ECCFE">
      <w:start w:val="1"/>
      <w:numFmt w:val="bullet"/>
      <w:lvlText w:val=""/>
      <w:lvlJc w:val="left"/>
      <w:pPr>
        <w:ind w:left="1020" w:hanging="360"/>
      </w:pPr>
      <w:rPr>
        <w:rFonts w:ascii="Symbol" w:hAnsi="Symbol"/>
      </w:rPr>
    </w:lvl>
    <w:lvl w:ilvl="5" w:tplc="C9181828">
      <w:start w:val="1"/>
      <w:numFmt w:val="bullet"/>
      <w:lvlText w:val=""/>
      <w:lvlJc w:val="left"/>
      <w:pPr>
        <w:ind w:left="1020" w:hanging="360"/>
      </w:pPr>
      <w:rPr>
        <w:rFonts w:ascii="Symbol" w:hAnsi="Symbol"/>
      </w:rPr>
    </w:lvl>
    <w:lvl w:ilvl="6" w:tplc="34AE5A46">
      <w:start w:val="1"/>
      <w:numFmt w:val="bullet"/>
      <w:lvlText w:val=""/>
      <w:lvlJc w:val="left"/>
      <w:pPr>
        <w:ind w:left="1020" w:hanging="360"/>
      </w:pPr>
      <w:rPr>
        <w:rFonts w:ascii="Symbol" w:hAnsi="Symbol"/>
      </w:rPr>
    </w:lvl>
    <w:lvl w:ilvl="7" w:tplc="89C858F8">
      <w:start w:val="1"/>
      <w:numFmt w:val="bullet"/>
      <w:lvlText w:val=""/>
      <w:lvlJc w:val="left"/>
      <w:pPr>
        <w:ind w:left="1020" w:hanging="360"/>
      </w:pPr>
      <w:rPr>
        <w:rFonts w:ascii="Symbol" w:hAnsi="Symbol"/>
      </w:rPr>
    </w:lvl>
    <w:lvl w:ilvl="8" w:tplc="7C148746">
      <w:start w:val="1"/>
      <w:numFmt w:val="bullet"/>
      <w:lvlText w:val=""/>
      <w:lvlJc w:val="left"/>
      <w:pPr>
        <w:ind w:left="1020" w:hanging="360"/>
      </w:pPr>
      <w:rPr>
        <w:rFonts w:ascii="Symbol" w:hAnsi="Symbol"/>
      </w:rPr>
    </w:lvl>
  </w:abstractNum>
  <w:abstractNum w:abstractNumId="4" w15:restartNumberingAfterBreak="0">
    <w:nsid w:val="2FDB1421"/>
    <w:multiLevelType w:val="hybridMultilevel"/>
    <w:tmpl w:val="EA7E7FF0"/>
    <w:lvl w:ilvl="0" w:tplc="85520BC2">
      <w:numFmt w:val="bullet"/>
      <w:lvlText w:val=""/>
      <w:lvlJc w:val="left"/>
      <w:pPr>
        <w:ind w:left="718" w:hanging="360"/>
      </w:pPr>
      <w:rPr>
        <w:rFonts w:ascii="Symbol" w:eastAsia="Symbol" w:hAnsi="Symbol" w:cs="Symbol" w:hint="default"/>
        <w:b w:val="0"/>
        <w:bCs w:val="0"/>
        <w:i w:val="0"/>
        <w:iCs w:val="0"/>
        <w:w w:val="99"/>
        <w:sz w:val="20"/>
        <w:szCs w:val="20"/>
        <w:lang w:val="en-US" w:eastAsia="en-US" w:bidi="ar-SA"/>
      </w:rPr>
    </w:lvl>
    <w:lvl w:ilvl="1" w:tplc="6C940220">
      <w:numFmt w:val="bullet"/>
      <w:lvlText w:val="•"/>
      <w:lvlJc w:val="left"/>
      <w:pPr>
        <w:ind w:left="1330" w:hanging="360"/>
      </w:pPr>
      <w:rPr>
        <w:rFonts w:hint="default"/>
        <w:lang w:val="en-US" w:eastAsia="en-US" w:bidi="ar-SA"/>
      </w:rPr>
    </w:lvl>
    <w:lvl w:ilvl="2" w:tplc="C286240C">
      <w:numFmt w:val="bullet"/>
      <w:lvlText w:val="•"/>
      <w:lvlJc w:val="left"/>
      <w:pPr>
        <w:ind w:left="1941" w:hanging="360"/>
      </w:pPr>
      <w:rPr>
        <w:rFonts w:hint="default"/>
        <w:lang w:val="en-US" w:eastAsia="en-US" w:bidi="ar-SA"/>
      </w:rPr>
    </w:lvl>
    <w:lvl w:ilvl="3" w:tplc="44C83F1A">
      <w:numFmt w:val="bullet"/>
      <w:lvlText w:val="•"/>
      <w:lvlJc w:val="left"/>
      <w:pPr>
        <w:ind w:left="2551" w:hanging="360"/>
      </w:pPr>
      <w:rPr>
        <w:rFonts w:hint="default"/>
        <w:lang w:val="en-US" w:eastAsia="en-US" w:bidi="ar-SA"/>
      </w:rPr>
    </w:lvl>
    <w:lvl w:ilvl="4" w:tplc="23B2E76E">
      <w:numFmt w:val="bullet"/>
      <w:lvlText w:val="•"/>
      <w:lvlJc w:val="left"/>
      <w:pPr>
        <w:ind w:left="3162" w:hanging="360"/>
      </w:pPr>
      <w:rPr>
        <w:rFonts w:hint="default"/>
        <w:lang w:val="en-US" w:eastAsia="en-US" w:bidi="ar-SA"/>
      </w:rPr>
    </w:lvl>
    <w:lvl w:ilvl="5" w:tplc="2D847CF0">
      <w:numFmt w:val="bullet"/>
      <w:lvlText w:val="•"/>
      <w:lvlJc w:val="left"/>
      <w:pPr>
        <w:ind w:left="3773" w:hanging="360"/>
      </w:pPr>
      <w:rPr>
        <w:rFonts w:hint="default"/>
        <w:lang w:val="en-US" w:eastAsia="en-US" w:bidi="ar-SA"/>
      </w:rPr>
    </w:lvl>
    <w:lvl w:ilvl="6" w:tplc="84A4E922">
      <w:numFmt w:val="bullet"/>
      <w:lvlText w:val="•"/>
      <w:lvlJc w:val="left"/>
      <w:pPr>
        <w:ind w:left="4383" w:hanging="360"/>
      </w:pPr>
      <w:rPr>
        <w:rFonts w:hint="default"/>
        <w:lang w:val="en-US" w:eastAsia="en-US" w:bidi="ar-SA"/>
      </w:rPr>
    </w:lvl>
    <w:lvl w:ilvl="7" w:tplc="42E4882E">
      <w:numFmt w:val="bullet"/>
      <w:lvlText w:val="•"/>
      <w:lvlJc w:val="left"/>
      <w:pPr>
        <w:ind w:left="4994" w:hanging="360"/>
      </w:pPr>
      <w:rPr>
        <w:rFonts w:hint="default"/>
        <w:lang w:val="en-US" w:eastAsia="en-US" w:bidi="ar-SA"/>
      </w:rPr>
    </w:lvl>
    <w:lvl w:ilvl="8" w:tplc="D3528D72">
      <w:numFmt w:val="bullet"/>
      <w:lvlText w:val="•"/>
      <w:lvlJc w:val="left"/>
      <w:pPr>
        <w:ind w:left="5604" w:hanging="360"/>
      </w:pPr>
      <w:rPr>
        <w:rFonts w:hint="default"/>
        <w:lang w:val="en-US" w:eastAsia="en-US" w:bidi="ar-SA"/>
      </w:rPr>
    </w:lvl>
  </w:abstractNum>
  <w:abstractNum w:abstractNumId="5" w15:restartNumberingAfterBreak="0">
    <w:nsid w:val="3E9935D8"/>
    <w:multiLevelType w:val="hybridMultilevel"/>
    <w:tmpl w:val="A4E094AE"/>
    <w:lvl w:ilvl="0" w:tplc="7B248F90">
      <w:numFmt w:val="bullet"/>
      <w:lvlText w:val=""/>
      <w:lvlJc w:val="left"/>
      <w:pPr>
        <w:ind w:left="718" w:hanging="360"/>
      </w:pPr>
      <w:rPr>
        <w:rFonts w:ascii="Symbol" w:eastAsia="Symbol" w:hAnsi="Symbol" w:cs="Symbol" w:hint="default"/>
        <w:b w:val="0"/>
        <w:bCs w:val="0"/>
        <w:i w:val="0"/>
        <w:iCs w:val="0"/>
        <w:w w:val="99"/>
        <w:sz w:val="20"/>
        <w:szCs w:val="20"/>
        <w:lang w:val="en-US" w:eastAsia="en-US" w:bidi="ar-SA"/>
      </w:rPr>
    </w:lvl>
    <w:lvl w:ilvl="1" w:tplc="147ADC7E">
      <w:numFmt w:val="bullet"/>
      <w:lvlText w:val="•"/>
      <w:lvlJc w:val="left"/>
      <w:pPr>
        <w:ind w:left="1330" w:hanging="360"/>
      </w:pPr>
      <w:rPr>
        <w:rFonts w:hint="default"/>
        <w:lang w:val="en-US" w:eastAsia="en-US" w:bidi="ar-SA"/>
      </w:rPr>
    </w:lvl>
    <w:lvl w:ilvl="2" w:tplc="70025BCA">
      <w:numFmt w:val="bullet"/>
      <w:lvlText w:val="•"/>
      <w:lvlJc w:val="left"/>
      <w:pPr>
        <w:ind w:left="1941" w:hanging="360"/>
      </w:pPr>
      <w:rPr>
        <w:rFonts w:hint="default"/>
        <w:lang w:val="en-US" w:eastAsia="en-US" w:bidi="ar-SA"/>
      </w:rPr>
    </w:lvl>
    <w:lvl w:ilvl="3" w:tplc="C910058A">
      <w:numFmt w:val="bullet"/>
      <w:lvlText w:val="•"/>
      <w:lvlJc w:val="left"/>
      <w:pPr>
        <w:ind w:left="2551" w:hanging="360"/>
      </w:pPr>
      <w:rPr>
        <w:rFonts w:hint="default"/>
        <w:lang w:val="en-US" w:eastAsia="en-US" w:bidi="ar-SA"/>
      </w:rPr>
    </w:lvl>
    <w:lvl w:ilvl="4" w:tplc="C88A07A8">
      <w:numFmt w:val="bullet"/>
      <w:lvlText w:val="•"/>
      <w:lvlJc w:val="left"/>
      <w:pPr>
        <w:ind w:left="3162" w:hanging="360"/>
      </w:pPr>
      <w:rPr>
        <w:rFonts w:hint="default"/>
        <w:lang w:val="en-US" w:eastAsia="en-US" w:bidi="ar-SA"/>
      </w:rPr>
    </w:lvl>
    <w:lvl w:ilvl="5" w:tplc="29BC9ADA">
      <w:numFmt w:val="bullet"/>
      <w:lvlText w:val="•"/>
      <w:lvlJc w:val="left"/>
      <w:pPr>
        <w:ind w:left="3773" w:hanging="360"/>
      </w:pPr>
      <w:rPr>
        <w:rFonts w:hint="default"/>
        <w:lang w:val="en-US" w:eastAsia="en-US" w:bidi="ar-SA"/>
      </w:rPr>
    </w:lvl>
    <w:lvl w:ilvl="6" w:tplc="3C2E3718">
      <w:numFmt w:val="bullet"/>
      <w:lvlText w:val="•"/>
      <w:lvlJc w:val="left"/>
      <w:pPr>
        <w:ind w:left="4383" w:hanging="360"/>
      </w:pPr>
      <w:rPr>
        <w:rFonts w:hint="default"/>
        <w:lang w:val="en-US" w:eastAsia="en-US" w:bidi="ar-SA"/>
      </w:rPr>
    </w:lvl>
    <w:lvl w:ilvl="7" w:tplc="E258E844">
      <w:numFmt w:val="bullet"/>
      <w:lvlText w:val="•"/>
      <w:lvlJc w:val="left"/>
      <w:pPr>
        <w:ind w:left="4994" w:hanging="360"/>
      </w:pPr>
      <w:rPr>
        <w:rFonts w:hint="default"/>
        <w:lang w:val="en-US" w:eastAsia="en-US" w:bidi="ar-SA"/>
      </w:rPr>
    </w:lvl>
    <w:lvl w:ilvl="8" w:tplc="04B279C2">
      <w:numFmt w:val="bullet"/>
      <w:lvlText w:val="•"/>
      <w:lvlJc w:val="left"/>
      <w:pPr>
        <w:ind w:left="5604" w:hanging="360"/>
      </w:pPr>
      <w:rPr>
        <w:rFonts w:hint="default"/>
        <w:lang w:val="en-US" w:eastAsia="en-US" w:bidi="ar-SA"/>
      </w:rPr>
    </w:lvl>
  </w:abstractNum>
  <w:abstractNum w:abstractNumId="6" w15:restartNumberingAfterBreak="0">
    <w:nsid w:val="3FEF753B"/>
    <w:multiLevelType w:val="hybridMultilevel"/>
    <w:tmpl w:val="35102E14"/>
    <w:lvl w:ilvl="0" w:tplc="40BCE1D8">
      <w:numFmt w:val="bullet"/>
      <w:lvlText w:val="•"/>
      <w:lvlJc w:val="left"/>
      <w:pPr>
        <w:ind w:left="436" w:hanging="272"/>
      </w:pPr>
      <w:rPr>
        <w:rFonts w:ascii="Calibri" w:eastAsia="Calibri" w:hAnsi="Calibri" w:cs="Calibri" w:hint="default"/>
        <w:b w:val="0"/>
        <w:bCs w:val="0"/>
        <w:i w:val="0"/>
        <w:iCs w:val="0"/>
        <w:w w:val="99"/>
        <w:sz w:val="22"/>
        <w:szCs w:val="22"/>
        <w:lang w:val="en-US" w:eastAsia="en-US" w:bidi="ar-SA"/>
      </w:rPr>
    </w:lvl>
    <w:lvl w:ilvl="1" w:tplc="B9E07F8A">
      <w:numFmt w:val="bullet"/>
      <w:lvlText w:val="•"/>
      <w:lvlJc w:val="left"/>
      <w:pPr>
        <w:ind w:left="868" w:hanging="272"/>
      </w:pPr>
      <w:rPr>
        <w:rFonts w:hint="default"/>
        <w:lang w:val="en-US" w:eastAsia="en-US" w:bidi="ar-SA"/>
      </w:rPr>
    </w:lvl>
    <w:lvl w:ilvl="2" w:tplc="42C4DA30">
      <w:numFmt w:val="bullet"/>
      <w:lvlText w:val="•"/>
      <w:lvlJc w:val="left"/>
      <w:pPr>
        <w:ind w:left="1296" w:hanging="272"/>
      </w:pPr>
      <w:rPr>
        <w:rFonts w:hint="default"/>
        <w:lang w:val="en-US" w:eastAsia="en-US" w:bidi="ar-SA"/>
      </w:rPr>
    </w:lvl>
    <w:lvl w:ilvl="3" w:tplc="0A3CE25E">
      <w:numFmt w:val="bullet"/>
      <w:lvlText w:val="•"/>
      <w:lvlJc w:val="left"/>
      <w:pPr>
        <w:ind w:left="1724" w:hanging="272"/>
      </w:pPr>
      <w:rPr>
        <w:rFonts w:hint="default"/>
        <w:lang w:val="en-US" w:eastAsia="en-US" w:bidi="ar-SA"/>
      </w:rPr>
    </w:lvl>
    <w:lvl w:ilvl="4" w:tplc="C436E642">
      <w:numFmt w:val="bullet"/>
      <w:lvlText w:val="•"/>
      <w:lvlJc w:val="left"/>
      <w:pPr>
        <w:ind w:left="2152" w:hanging="272"/>
      </w:pPr>
      <w:rPr>
        <w:rFonts w:hint="default"/>
        <w:lang w:val="en-US" w:eastAsia="en-US" w:bidi="ar-SA"/>
      </w:rPr>
    </w:lvl>
    <w:lvl w:ilvl="5" w:tplc="EF80918A">
      <w:numFmt w:val="bullet"/>
      <w:lvlText w:val="•"/>
      <w:lvlJc w:val="left"/>
      <w:pPr>
        <w:ind w:left="2581" w:hanging="272"/>
      </w:pPr>
      <w:rPr>
        <w:rFonts w:hint="default"/>
        <w:lang w:val="en-US" w:eastAsia="en-US" w:bidi="ar-SA"/>
      </w:rPr>
    </w:lvl>
    <w:lvl w:ilvl="6" w:tplc="EAAEBA00">
      <w:numFmt w:val="bullet"/>
      <w:lvlText w:val="•"/>
      <w:lvlJc w:val="left"/>
      <w:pPr>
        <w:ind w:left="3009" w:hanging="272"/>
      </w:pPr>
      <w:rPr>
        <w:rFonts w:hint="default"/>
        <w:lang w:val="en-US" w:eastAsia="en-US" w:bidi="ar-SA"/>
      </w:rPr>
    </w:lvl>
    <w:lvl w:ilvl="7" w:tplc="245ADADC">
      <w:numFmt w:val="bullet"/>
      <w:lvlText w:val="•"/>
      <w:lvlJc w:val="left"/>
      <w:pPr>
        <w:ind w:left="3437" w:hanging="272"/>
      </w:pPr>
      <w:rPr>
        <w:rFonts w:hint="default"/>
        <w:lang w:val="en-US" w:eastAsia="en-US" w:bidi="ar-SA"/>
      </w:rPr>
    </w:lvl>
    <w:lvl w:ilvl="8" w:tplc="B5146706">
      <w:numFmt w:val="bullet"/>
      <w:lvlText w:val="•"/>
      <w:lvlJc w:val="left"/>
      <w:pPr>
        <w:ind w:left="3865" w:hanging="272"/>
      </w:pPr>
      <w:rPr>
        <w:rFonts w:hint="default"/>
        <w:lang w:val="en-US" w:eastAsia="en-US" w:bidi="ar-SA"/>
      </w:rPr>
    </w:lvl>
  </w:abstractNum>
  <w:abstractNum w:abstractNumId="7" w15:restartNumberingAfterBreak="0">
    <w:nsid w:val="456857C4"/>
    <w:multiLevelType w:val="hybridMultilevel"/>
    <w:tmpl w:val="7DE66526"/>
    <w:lvl w:ilvl="0" w:tplc="E1A2A57E">
      <w:numFmt w:val="bullet"/>
      <w:lvlText w:val=""/>
      <w:lvlJc w:val="left"/>
      <w:pPr>
        <w:ind w:left="726" w:hanging="360"/>
      </w:pPr>
      <w:rPr>
        <w:rFonts w:ascii="Symbol" w:eastAsia="Symbol" w:hAnsi="Symbol" w:cs="Symbol" w:hint="default"/>
        <w:b w:val="0"/>
        <w:bCs w:val="0"/>
        <w:i w:val="0"/>
        <w:iCs w:val="0"/>
        <w:w w:val="99"/>
        <w:sz w:val="20"/>
        <w:szCs w:val="20"/>
        <w:lang w:val="en-US" w:eastAsia="en-US" w:bidi="ar-SA"/>
      </w:rPr>
    </w:lvl>
    <w:lvl w:ilvl="1" w:tplc="57C21E1E">
      <w:numFmt w:val="bullet"/>
      <w:lvlText w:val="•"/>
      <w:lvlJc w:val="left"/>
      <w:pPr>
        <w:ind w:left="1331" w:hanging="360"/>
      </w:pPr>
      <w:rPr>
        <w:rFonts w:hint="default"/>
        <w:lang w:val="en-US" w:eastAsia="en-US" w:bidi="ar-SA"/>
      </w:rPr>
    </w:lvl>
    <w:lvl w:ilvl="2" w:tplc="CE7E367E">
      <w:numFmt w:val="bullet"/>
      <w:lvlText w:val="•"/>
      <w:lvlJc w:val="left"/>
      <w:pPr>
        <w:ind w:left="1942" w:hanging="360"/>
      </w:pPr>
      <w:rPr>
        <w:rFonts w:hint="default"/>
        <w:lang w:val="en-US" w:eastAsia="en-US" w:bidi="ar-SA"/>
      </w:rPr>
    </w:lvl>
    <w:lvl w:ilvl="3" w:tplc="D7F2D5D4">
      <w:numFmt w:val="bullet"/>
      <w:lvlText w:val="•"/>
      <w:lvlJc w:val="left"/>
      <w:pPr>
        <w:ind w:left="2554" w:hanging="360"/>
      </w:pPr>
      <w:rPr>
        <w:rFonts w:hint="default"/>
        <w:lang w:val="en-US" w:eastAsia="en-US" w:bidi="ar-SA"/>
      </w:rPr>
    </w:lvl>
    <w:lvl w:ilvl="4" w:tplc="C2DAC086">
      <w:numFmt w:val="bullet"/>
      <w:lvlText w:val="•"/>
      <w:lvlJc w:val="left"/>
      <w:pPr>
        <w:ind w:left="3165" w:hanging="360"/>
      </w:pPr>
      <w:rPr>
        <w:rFonts w:hint="default"/>
        <w:lang w:val="en-US" w:eastAsia="en-US" w:bidi="ar-SA"/>
      </w:rPr>
    </w:lvl>
    <w:lvl w:ilvl="5" w:tplc="7DAA56C8">
      <w:numFmt w:val="bullet"/>
      <w:lvlText w:val="•"/>
      <w:lvlJc w:val="left"/>
      <w:pPr>
        <w:ind w:left="3777" w:hanging="360"/>
      </w:pPr>
      <w:rPr>
        <w:rFonts w:hint="default"/>
        <w:lang w:val="en-US" w:eastAsia="en-US" w:bidi="ar-SA"/>
      </w:rPr>
    </w:lvl>
    <w:lvl w:ilvl="6" w:tplc="998AA888">
      <w:numFmt w:val="bullet"/>
      <w:lvlText w:val="•"/>
      <w:lvlJc w:val="left"/>
      <w:pPr>
        <w:ind w:left="4388" w:hanging="360"/>
      </w:pPr>
      <w:rPr>
        <w:rFonts w:hint="default"/>
        <w:lang w:val="en-US" w:eastAsia="en-US" w:bidi="ar-SA"/>
      </w:rPr>
    </w:lvl>
    <w:lvl w:ilvl="7" w:tplc="EDA6B03C">
      <w:numFmt w:val="bullet"/>
      <w:lvlText w:val="•"/>
      <w:lvlJc w:val="left"/>
      <w:pPr>
        <w:ind w:left="4999" w:hanging="360"/>
      </w:pPr>
      <w:rPr>
        <w:rFonts w:hint="default"/>
        <w:lang w:val="en-US" w:eastAsia="en-US" w:bidi="ar-SA"/>
      </w:rPr>
    </w:lvl>
    <w:lvl w:ilvl="8" w:tplc="6B982FC0">
      <w:numFmt w:val="bullet"/>
      <w:lvlText w:val="•"/>
      <w:lvlJc w:val="left"/>
      <w:pPr>
        <w:ind w:left="5611" w:hanging="360"/>
      </w:pPr>
      <w:rPr>
        <w:rFonts w:hint="default"/>
        <w:lang w:val="en-US" w:eastAsia="en-US" w:bidi="ar-SA"/>
      </w:rPr>
    </w:lvl>
  </w:abstractNum>
  <w:abstractNum w:abstractNumId="8" w15:restartNumberingAfterBreak="0">
    <w:nsid w:val="47373F8F"/>
    <w:multiLevelType w:val="hybridMultilevel"/>
    <w:tmpl w:val="09567482"/>
    <w:lvl w:ilvl="0" w:tplc="44DAE82C">
      <w:numFmt w:val="bullet"/>
      <w:lvlText w:val=""/>
      <w:lvlJc w:val="left"/>
      <w:pPr>
        <w:ind w:left="921" w:hanging="360"/>
      </w:pPr>
      <w:rPr>
        <w:rFonts w:ascii="Symbol" w:eastAsia="Symbol" w:hAnsi="Symbol" w:cs="Symbol" w:hint="default"/>
        <w:b w:val="0"/>
        <w:bCs w:val="0"/>
        <w:i w:val="0"/>
        <w:iCs w:val="0"/>
        <w:w w:val="99"/>
        <w:sz w:val="22"/>
        <w:szCs w:val="22"/>
        <w:lang w:val="en-US" w:eastAsia="en-US" w:bidi="ar-SA"/>
      </w:rPr>
    </w:lvl>
    <w:lvl w:ilvl="1" w:tplc="5C4EA2FA">
      <w:numFmt w:val="bullet"/>
      <w:lvlText w:val="•"/>
      <w:lvlJc w:val="left"/>
      <w:pPr>
        <w:ind w:left="1020" w:hanging="360"/>
      </w:pPr>
      <w:rPr>
        <w:rFonts w:hint="default"/>
        <w:lang w:val="en-US" w:eastAsia="en-US" w:bidi="ar-SA"/>
      </w:rPr>
    </w:lvl>
    <w:lvl w:ilvl="2" w:tplc="D7E2A2B8">
      <w:numFmt w:val="bullet"/>
      <w:lvlText w:val="•"/>
      <w:lvlJc w:val="left"/>
      <w:pPr>
        <w:ind w:left="2015" w:hanging="360"/>
      </w:pPr>
      <w:rPr>
        <w:rFonts w:hint="default"/>
        <w:lang w:val="en-US" w:eastAsia="en-US" w:bidi="ar-SA"/>
      </w:rPr>
    </w:lvl>
    <w:lvl w:ilvl="3" w:tplc="FB245536">
      <w:numFmt w:val="bullet"/>
      <w:lvlText w:val="•"/>
      <w:lvlJc w:val="left"/>
      <w:pPr>
        <w:ind w:left="3011" w:hanging="360"/>
      </w:pPr>
      <w:rPr>
        <w:rFonts w:hint="default"/>
        <w:lang w:val="en-US" w:eastAsia="en-US" w:bidi="ar-SA"/>
      </w:rPr>
    </w:lvl>
    <w:lvl w:ilvl="4" w:tplc="79728CC8">
      <w:numFmt w:val="bullet"/>
      <w:lvlText w:val="•"/>
      <w:lvlJc w:val="left"/>
      <w:pPr>
        <w:ind w:left="4006" w:hanging="360"/>
      </w:pPr>
      <w:rPr>
        <w:rFonts w:hint="default"/>
        <w:lang w:val="en-US" w:eastAsia="en-US" w:bidi="ar-SA"/>
      </w:rPr>
    </w:lvl>
    <w:lvl w:ilvl="5" w:tplc="44723AE2">
      <w:numFmt w:val="bullet"/>
      <w:lvlText w:val="•"/>
      <w:lvlJc w:val="left"/>
      <w:pPr>
        <w:ind w:left="5002" w:hanging="360"/>
      </w:pPr>
      <w:rPr>
        <w:rFonts w:hint="default"/>
        <w:lang w:val="en-US" w:eastAsia="en-US" w:bidi="ar-SA"/>
      </w:rPr>
    </w:lvl>
    <w:lvl w:ilvl="6" w:tplc="3B86ED28">
      <w:numFmt w:val="bullet"/>
      <w:lvlText w:val="•"/>
      <w:lvlJc w:val="left"/>
      <w:pPr>
        <w:ind w:left="5997" w:hanging="360"/>
      </w:pPr>
      <w:rPr>
        <w:rFonts w:hint="default"/>
        <w:lang w:val="en-US" w:eastAsia="en-US" w:bidi="ar-SA"/>
      </w:rPr>
    </w:lvl>
    <w:lvl w:ilvl="7" w:tplc="D142843E">
      <w:numFmt w:val="bullet"/>
      <w:lvlText w:val="•"/>
      <w:lvlJc w:val="left"/>
      <w:pPr>
        <w:ind w:left="6993" w:hanging="360"/>
      </w:pPr>
      <w:rPr>
        <w:rFonts w:hint="default"/>
        <w:lang w:val="en-US" w:eastAsia="en-US" w:bidi="ar-SA"/>
      </w:rPr>
    </w:lvl>
    <w:lvl w:ilvl="8" w:tplc="E60874E0">
      <w:numFmt w:val="bullet"/>
      <w:lvlText w:val="•"/>
      <w:lvlJc w:val="left"/>
      <w:pPr>
        <w:ind w:left="7988" w:hanging="360"/>
      </w:pPr>
      <w:rPr>
        <w:rFonts w:hint="default"/>
        <w:lang w:val="en-US" w:eastAsia="en-US" w:bidi="ar-SA"/>
      </w:rPr>
    </w:lvl>
  </w:abstractNum>
  <w:abstractNum w:abstractNumId="9" w15:restartNumberingAfterBreak="0">
    <w:nsid w:val="51B8471E"/>
    <w:multiLevelType w:val="hybridMultilevel"/>
    <w:tmpl w:val="31782B8E"/>
    <w:lvl w:ilvl="0" w:tplc="5CA6C636">
      <w:numFmt w:val="bullet"/>
      <w:lvlText w:val=""/>
      <w:lvlJc w:val="left"/>
      <w:pPr>
        <w:ind w:left="1022" w:hanging="360"/>
      </w:pPr>
      <w:rPr>
        <w:rFonts w:ascii="Symbol" w:eastAsia="Symbol" w:hAnsi="Symbol" w:cs="Symbol" w:hint="default"/>
        <w:b w:val="0"/>
        <w:bCs w:val="0"/>
        <w:i w:val="0"/>
        <w:iCs w:val="0"/>
        <w:w w:val="99"/>
        <w:sz w:val="22"/>
        <w:szCs w:val="22"/>
        <w:lang w:val="en-US" w:eastAsia="en-US" w:bidi="ar-SA"/>
      </w:rPr>
    </w:lvl>
    <w:lvl w:ilvl="1" w:tplc="7DFCC8F6">
      <w:numFmt w:val="bullet"/>
      <w:lvlText w:val="•"/>
      <w:lvlJc w:val="left"/>
      <w:pPr>
        <w:ind w:left="1916" w:hanging="360"/>
      </w:pPr>
      <w:rPr>
        <w:rFonts w:hint="default"/>
        <w:lang w:val="en-US" w:eastAsia="en-US" w:bidi="ar-SA"/>
      </w:rPr>
    </w:lvl>
    <w:lvl w:ilvl="2" w:tplc="3B801E40">
      <w:numFmt w:val="bullet"/>
      <w:lvlText w:val="•"/>
      <w:lvlJc w:val="left"/>
      <w:pPr>
        <w:ind w:left="2812" w:hanging="360"/>
      </w:pPr>
      <w:rPr>
        <w:rFonts w:hint="default"/>
        <w:lang w:val="en-US" w:eastAsia="en-US" w:bidi="ar-SA"/>
      </w:rPr>
    </w:lvl>
    <w:lvl w:ilvl="3" w:tplc="CC128E74">
      <w:numFmt w:val="bullet"/>
      <w:lvlText w:val="•"/>
      <w:lvlJc w:val="left"/>
      <w:pPr>
        <w:ind w:left="3708" w:hanging="360"/>
      </w:pPr>
      <w:rPr>
        <w:rFonts w:hint="default"/>
        <w:lang w:val="en-US" w:eastAsia="en-US" w:bidi="ar-SA"/>
      </w:rPr>
    </w:lvl>
    <w:lvl w:ilvl="4" w:tplc="8B54B222">
      <w:numFmt w:val="bullet"/>
      <w:lvlText w:val="•"/>
      <w:lvlJc w:val="left"/>
      <w:pPr>
        <w:ind w:left="4604" w:hanging="360"/>
      </w:pPr>
      <w:rPr>
        <w:rFonts w:hint="default"/>
        <w:lang w:val="en-US" w:eastAsia="en-US" w:bidi="ar-SA"/>
      </w:rPr>
    </w:lvl>
    <w:lvl w:ilvl="5" w:tplc="7116B67E">
      <w:numFmt w:val="bullet"/>
      <w:lvlText w:val="•"/>
      <w:lvlJc w:val="left"/>
      <w:pPr>
        <w:ind w:left="5500" w:hanging="360"/>
      </w:pPr>
      <w:rPr>
        <w:rFonts w:hint="default"/>
        <w:lang w:val="en-US" w:eastAsia="en-US" w:bidi="ar-SA"/>
      </w:rPr>
    </w:lvl>
    <w:lvl w:ilvl="6" w:tplc="799A7A1C">
      <w:numFmt w:val="bullet"/>
      <w:lvlText w:val="•"/>
      <w:lvlJc w:val="left"/>
      <w:pPr>
        <w:ind w:left="6396" w:hanging="360"/>
      </w:pPr>
      <w:rPr>
        <w:rFonts w:hint="default"/>
        <w:lang w:val="en-US" w:eastAsia="en-US" w:bidi="ar-SA"/>
      </w:rPr>
    </w:lvl>
    <w:lvl w:ilvl="7" w:tplc="EAA8E1C6">
      <w:numFmt w:val="bullet"/>
      <w:lvlText w:val="•"/>
      <w:lvlJc w:val="left"/>
      <w:pPr>
        <w:ind w:left="7292" w:hanging="360"/>
      </w:pPr>
      <w:rPr>
        <w:rFonts w:hint="default"/>
        <w:lang w:val="en-US" w:eastAsia="en-US" w:bidi="ar-SA"/>
      </w:rPr>
    </w:lvl>
    <w:lvl w:ilvl="8" w:tplc="0FCC81EC">
      <w:numFmt w:val="bullet"/>
      <w:lvlText w:val="•"/>
      <w:lvlJc w:val="left"/>
      <w:pPr>
        <w:ind w:left="8188" w:hanging="360"/>
      </w:pPr>
      <w:rPr>
        <w:rFonts w:hint="default"/>
        <w:lang w:val="en-US" w:eastAsia="en-US" w:bidi="ar-SA"/>
      </w:rPr>
    </w:lvl>
  </w:abstractNum>
  <w:abstractNum w:abstractNumId="10" w15:restartNumberingAfterBreak="0">
    <w:nsid w:val="5F7D76FB"/>
    <w:multiLevelType w:val="hybridMultilevel"/>
    <w:tmpl w:val="BCE07E50"/>
    <w:lvl w:ilvl="0" w:tplc="6582BD96">
      <w:numFmt w:val="bullet"/>
      <w:lvlText w:val=""/>
      <w:lvlJc w:val="left"/>
      <w:pPr>
        <w:ind w:left="718" w:hanging="360"/>
      </w:pPr>
      <w:rPr>
        <w:rFonts w:ascii="Symbol" w:eastAsia="Symbol" w:hAnsi="Symbol" w:cs="Symbol" w:hint="default"/>
        <w:b w:val="0"/>
        <w:bCs w:val="0"/>
        <w:i w:val="0"/>
        <w:iCs w:val="0"/>
        <w:w w:val="99"/>
        <w:sz w:val="20"/>
        <w:szCs w:val="20"/>
        <w:lang w:val="en-US" w:eastAsia="en-US" w:bidi="ar-SA"/>
      </w:rPr>
    </w:lvl>
    <w:lvl w:ilvl="1" w:tplc="AC968466">
      <w:numFmt w:val="bullet"/>
      <w:lvlText w:val="•"/>
      <w:lvlJc w:val="left"/>
      <w:pPr>
        <w:ind w:left="1330" w:hanging="360"/>
      </w:pPr>
      <w:rPr>
        <w:rFonts w:hint="default"/>
        <w:lang w:val="en-US" w:eastAsia="en-US" w:bidi="ar-SA"/>
      </w:rPr>
    </w:lvl>
    <w:lvl w:ilvl="2" w:tplc="ADCABAB4">
      <w:numFmt w:val="bullet"/>
      <w:lvlText w:val="•"/>
      <w:lvlJc w:val="left"/>
      <w:pPr>
        <w:ind w:left="1941" w:hanging="360"/>
      </w:pPr>
      <w:rPr>
        <w:rFonts w:hint="default"/>
        <w:lang w:val="en-US" w:eastAsia="en-US" w:bidi="ar-SA"/>
      </w:rPr>
    </w:lvl>
    <w:lvl w:ilvl="3" w:tplc="0234E026">
      <w:numFmt w:val="bullet"/>
      <w:lvlText w:val="•"/>
      <w:lvlJc w:val="left"/>
      <w:pPr>
        <w:ind w:left="2551" w:hanging="360"/>
      </w:pPr>
      <w:rPr>
        <w:rFonts w:hint="default"/>
        <w:lang w:val="en-US" w:eastAsia="en-US" w:bidi="ar-SA"/>
      </w:rPr>
    </w:lvl>
    <w:lvl w:ilvl="4" w:tplc="A67AFE68">
      <w:numFmt w:val="bullet"/>
      <w:lvlText w:val="•"/>
      <w:lvlJc w:val="left"/>
      <w:pPr>
        <w:ind w:left="3162" w:hanging="360"/>
      </w:pPr>
      <w:rPr>
        <w:rFonts w:hint="default"/>
        <w:lang w:val="en-US" w:eastAsia="en-US" w:bidi="ar-SA"/>
      </w:rPr>
    </w:lvl>
    <w:lvl w:ilvl="5" w:tplc="AA2CCB12">
      <w:numFmt w:val="bullet"/>
      <w:lvlText w:val="•"/>
      <w:lvlJc w:val="left"/>
      <w:pPr>
        <w:ind w:left="3773" w:hanging="360"/>
      </w:pPr>
      <w:rPr>
        <w:rFonts w:hint="default"/>
        <w:lang w:val="en-US" w:eastAsia="en-US" w:bidi="ar-SA"/>
      </w:rPr>
    </w:lvl>
    <w:lvl w:ilvl="6" w:tplc="2138C67C">
      <w:numFmt w:val="bullet"/>
      <w:lvlText w:val="•"/>
      <w:lvlJc w:val="left"/>
      <w:pPr>
        <w:ind w:left="4383" w:hanging="360"/>
      </w:pPr>
      <w:rPr>
        <w:rFonts w:hint="default"/>
        <w:lang w:val="en-US" w:eastAsia="en-US" w:bidi="ar-SA"/>
      </w:rPr>
    </w:lvl>
    <w:lvl w:ilvl="7" w:tplc="18503834">
      <w:numFmt w:val="bullet"/>
      <w:lvlText w:val="•"/>
      <w:lvlJc w:val="left"/>
      <w:pPr>
        <w:ind w:left="4994" w:hanging="360"/>
      </w:pPr>
      <w:rPr>
        <w:rFonts w:hint="default"/>
        <w:lang w:val="en-US" w:eastAsia="en-US" w:bidi="ar-SA"/>
      </w:rPr>
    </w:lvl>
    <w:lvl w:ilvl="8" w:tplc="9E7A5840">
      <w:numFmt w:val="bullet"/>
      <w:lvlText w:val="•"/>
      <w:lvlJc w:val="left"/>
      <w:pPr>
        <w:ind w:left="5604" w:hanging="360"/>
      </w:pPr>
      <w:rPr>
        <w:rFonts w:hint="default"/>
        <w:lang w:val="en-US" w:eastAsia="en-US" w:bidi="ar-SA"/>
      </w:rPr>
    </w:lvl>
  </w:abstractNum>
  <w:abstractNum w:abstractNumId="11" w15:restartNumberingAfterBreak="0">
    <w:nsid w:val="6202331C"/>
    <w:multiLevelType w:val="hybridMultilevel"/>
    <w:tmpl w:val="0CD23B1A"/>
    <w:lvl w:ilvl="0" w:tplc="D1D438F0">
      <w:start w:val="1"/>
      <w:numFmt w:val="decimal"/>
      <w:lvlText w:val="%1."/>
      <w:lvlJc w:val="left"/>
      <w:pPr>
        <w:ind w:left="920" w:hanging="360"/>
      </w:pPr>
      <w:rPr>
        <w:rFonts w:ascii="Calibri" w:eastAsia="Calibri" w:hAnsi="Calibri" w:cs="Calibri" w:hint="default"/>
        <w:b w:val="0"/>
        <w:bCs w:val="0"/>
        <w:i w:val="0"/>
        <w:iCs w:val="0"/>
        <w:w w:val="99"/>
        <w:sz w:val="22"/>
        <w:szCs w:val="22"/>
        <w:lang w:val="en-US" w:eastAsia="en-US" w:bidi="ar-SA"/>
      </w:rPr>
    </w:lvl>
    <w:lvl w:ilvl="1" w:tplc="B0821B9E">
      <w:numFmt w:val="bullet"/>
      <w:lvlText w:val=""/>
      <w:lvlJc w:val="left"/>
      <w:pPr>
        <w:ind w:left="1180" w:hanging="361"/>
      </w:pPr>
      <w:rPr>
        <w:rFonts w:ascii="Symbol" w:eastAsia="Symbol" w:hAnsi="Symbol" w:cs="Symbol" w:hint="default"/>
        <w:b w:val="0"/>
        <w:bCs w:val="0"/>
        <w:i w:val="0"/>
        <w:iCs w:val="0"/>
        <w:w w:val="100"/>
        <w:sz w:val="22"/>
        <w:szCs w:val="22"/>
        <w:lang w:val="en-US" w:eastAsia="en-US" w:bidi="ar-SA"/>
      </w:rPr>
    </w:lvl>
    <w:lvl w:ilvl="2" w:tplc="BE72C1DA">
      <w:numFmt w:val="bullet"/>
      <w:lvlText w:val="•"/>
      <w:lvlJc w:val="left"/>
      <w:pPr>
        <w:ind w:left="2157" w:hanging="361"/>
      </w:pPr>
      <w:rPr>
        <w:rFonts w:hint="default"/>
        <w:lang w:val="en-US" w:eastAsia="en-US" w:bidi="ar-SA"/>
      </w:rPr>
    </w:lvl>
    <w:lvl w:ilvl="3" w:tplc="612C655E">
      <w:numFmt w:val="bullet"/>
      <w:lvlText w:val="•"/>
      <w:lvlJc w:val="left"/>
      <w:pPr>
        <w:ind w:left="3135" w:hanging="361"/>
      </w:pPr>
      <w:rPr>
        <w:rFonts w:hint="default"/>
        <w:lang w:val="en-US" w:eastAsia="en-US" w:bidi="ar-SA"/>
      </w:rPr>
    </w:lvl>
    <w:lvl w:ilvl="4" w:tplc="67827BE2">
      <w:numFmt w:val="bullet"/>
      <w:lvlText w:val="•"/>
      <w:lvlJc w:val="left"/>
      <w:pPr>
        <w:ind w:left="4113" w:hanging="361"/>
      </w:pPr>
      <w:rPr>
        <w:rFonts w:hint="default"/>
        <w:lang w:val="en-US" w:eastAsia="en-US" w:bidi="ar-SA"/>
      </w:rPr>
    </w:lvl>
    <w:lvl w:ilvl="5" w:tplc="0C28C62C">
      <w:numFmt w:val="bullet"/>
      <w:lvlText w:val="•"/>
      <w:lvlJc w:val="left"/>
      <w:pPr>
        <w:ind w:left="5091" w:hanging="361"/>
      </w:pPr>
      <w:rPr>
        <w:rFonts w:hint="default"/>
        <w:lang w:val="en-US" w:eastAsia="en-US" w:bidi="ar-SA"/>
      </w:rPr>
    </w:lvl>
    <w:lvl w:ilvl="6" w:tplc="3414562C">
      <w:numFmt w:val="bullet"/>
      <w:lvlText w:val="•"/>
      <w:lvlJc w:val="left"/>
      <w:pPr>
        <w:ind w:left="6068" w:hanging="361"/>
      </w:pPr>
      <w:rPr>
        <w:rFonts w:hint="default"/>
        <w:lang w:val="en-US" w:eastAsia="en-US" w:bidi="ar-SA"/>
      </w:rPr>
    </w:lvl>
    <w:lvl w:ilvl="7" w:tplc="53A8AD22">
      <w:numFmt w:val="bullet"/>
      <w:lvlText w:val="•"/>
      <w:lvlJc w:val="left"/>
      <w:pPr>
        <w:ind w:left="7046" w:hanging="361"/>
      </w:pPr>
      <w:rPr>
        <w:rFonts w:hint="default"/>
        <w:lang w:val="en-US" w:eastAsia="en-US" w:bidi="ar-SA"/>
      </w:rPr>
    </w:lvl>
    <w:lvl w:ilvl="8" w:tplc="72D01ECA">
      <w:numFmt w:val="bullet"/>
      <w:lvlText w:val="•"/>
      <w:lvlJc w:val="left"/>
      <w:pPr>
        <w:ind w:left="8024" w:hanging="361"/>
      </w:pPr>
      <w:rPr>
        <w:rFonts w:hint="default"/>
        <w:lang w:val="en-US" w:eastAsia="en-US" w:bidi="ar-SA"/>
      </w:rPr>
    </w:lvl>
  </w:abstractNum>
  <w:abstractNum w:abstractNumId="12" w15:restartNumberingAfterBreak="0">
    <w:nsid w:val="66244587"/>
    <w:multiLevelType w:val="hybridMultilevel"/>
    <w:tmpl w:val="04F21964"/>
    <w:lvl w:ilvl="0" w:tplc="94FAC88E">
      <w:start w:val="1"/>
      <w:numFmt w:val="decimal"/>
      <w:lvlText w:val="%1."/>
      <w:lvlJc w:val="left"/>
      <w:pPr>
        <w:ind w:left="1022" w:hanging="360"/>
      </w:pPr>
      <w:rPr>
        <w:rFonts w:ascii="Calibri" w:eastAsia="Calibri" w:hAnsi="Calibri" w:cs="Calibri" w:hint="default"/>
        <w:b w:val="0"/>
        <w:bCs w:val="0"/>
        <w:i w:val="0"/>
        <w:iCs w:val="0"/>
        <w:w w:val="99"/>
        <w:sz w:val="22"/>
        <w:szCs w:val="22"/>
        <w:lang w:val="en-US" w:eastAsia="en-US" w:bidi="ar-SA"/>
      </w:rPr>
    </w:lvl>
    <w:lvl w:ilvl="1" w:tplc="7C20695A">
      <w:numFmt w:val="bullet"/>
      <w:lvlText w:val="•"/>
      <w:lvlJc w:val="left"/>
      <w:pPr>
        <w:ind w:left="1916" w:hanging="360"/>
      </w:pPr>
      <w:rPr>
        <w:rFonts w:hint="default"/>
        <w:lang w:val="en-US" w:eastAsia="en-US" w:bidi="ar-SA"/>
      </w:rPr>
    </w:lvl>
    <w:lvl w:ilvl="2" w:tplc="2F369DF6">
      <w:numFmt w:val="bullet"/>
      <w:lvlText w:val="•"/>
      <w:lvlJc w:val="left"/>
      <w:pPr>
        <w:ind w:left="2812" w:hanging="360"/>
      </w:pPr>
      <w:rPr>
        <w:rFonts w:hint="default"/>
        <w:lang w:val="en-US" w:eastAsia="en-US" w:bidi="ar-SA"/>
      </w:rPr>
    </w:lvl>
    <w:lvl w:ilvl="3" w:tplc="5BA64AF0">
      <w:numFmt w:val="bullet"/>
      <w:lvlText w:val="•"/>
      <w:lvlJc w:val="left"/>
      <w:pPr>
        <w:ind w:left="3708" w:hanging="360"/>
      </w:pPr>
      <w:rPr>
        <w:rFonts w:hint="default"/>
        <w:lang w:val="en-US" w:eastAsia="en-US" w:bidi="ar-SA"/>
      </w:rPr>
    </w:lvl>
    <w:lvl w:ilvl="4" w:tplc="6714F354">
      <w:numFmt w:val="bullet"/>
      <w:lvlText w:val="•"/>
      <w:lvlJc w:val="left"/>
      <w:pPr>
        <w:ind w:left="4604" w:hanging="360"/>
      </w:pPr>
      <w:rPr>
        <w:rFonts w:hint="default"/>
        <w:lang w:val="en-US" w:eastAsia="en-US" w:bidi="ar-SA"/>
      </w:rPr>
    </w:lvl>
    <w:lvl w:ilvl="5" w:tplc="5F5A578A">
      <w:numFmt w:val="bullet"/>
      <w:lvlText w:val="•"/>
      <w:lvlJc w:val="left"/>
      <w:pPr>
        <w:ind w:left="5500" w:hanging="360"/>
      </w:pPr>
      <w:rPr>
        <w:rFonts w:hint="default"/>
        <w:lang w:val="en-US" w:eastAsia="en-US" w:bidi="ar-SA"/>
      </w:rPr>
    </w:lvl>
    <w:lvl w:ilvl="6" w:tplc="D032C80A">
      <w:numFmt w:val="bullet"/>
      <w:lvlText w:val="•"/>
      <w:lvlJc w:val="left"/>
      <w:pPr>
        <w:ind w:left="6396" w:hanging="360"/>
      </w:pPr>
      <w:rPr>
        <w:rFonts w:hint="default"/>
        <w:lang w:val="en-US" w:eastAsia="en-US" w:bidi="ar-SA"/>
      </w:rPr>
    </w:lvl>
    <w:lvl w:ilvl="7" w:tplc="C03C5666">
      <w:numFmt w:val="bullet"/>
      <w:lvlText w:val="•"/>
      <w:lvlJc w:val="left"/>
      <w:pPr>
        <w:ind w:left="7292" w:hanging="360"/>
      </w:pPr>
      <w:rPr>
        <w:rFonts w:hint="default"/>
        <w:lang w:val="en-US" w:eastAsia="en-US" w:bidi="ar-SA"/>
      </w:rPr>
    </w:lvl>
    <w:lvl w:ilvl="8" w:tplc="03F8AAA8">
      <w:numFmt w:val="bullet"/>
      <w:lvlText w:val="•"/>
      <w:lvlJc w:val="left"/>
      <w:pPr>
        <w:ind w:left="8188" w:hanging="360"/>
      </w:pPr>
      <w:rPr>
        <w:rFonts w:hint="default"/>
        <w:lang w:val="en-US" w:eastAsia="en-US" w:bidi="ar-SA"/>
      </w:rPr>
    </w:lvl>
  </w:abstractNum>
  <w:abstractNum w:abstractNumId="13" w15:restartNumberingAfterBreak="0">
    <w:nsid w:val="70E67A39"/>
    <w:multiLevelType w:val="hybridMultilevel"/>
    <w:tmpl w:val="7C28787C"/>
    <w:lvl w:ilvl="0" w:tplc="88AA4810">
      <w:start w:val="1"/>
      <w:numFmt w:val="bullet"/>
      <w:lvlText w:val=""/>
      <w:lvlJc w:val="left"/>
      <w:pPr>
        <w:ind w:left="720" w:hanging="360"/>
      </w:pPr>
      <w:rPr>
        <w:rFonts w:ascii="Symbol" w:hAnsi="Symbol"/>
      </w:rPr>
    </w:lvl>
    <w:lvl w:ilvl="1" w:tplc="0ACC8724">
      <w:start w:val="1"/>
      <w:numFmt w:val="bullet"/>
      <w:lvlText w:val=""/>
      <w:lvlJc w:val="left"/>
      <w:pPr>
        <w:ind w:left="720" w:hanging="360"/>
      </w:pPr>
      <w:rPr>
        <w:rFonts w:ascii="Symbol" w:hAnsi="Symbol"/>
      </w:rPr>
    </w:lvl>
    <w:lvl w:ilvl="2" w:tplc="102A6D96">
      <w:start w:val="1"/>
      <w:numFmt w:val="bullet"/>
      <w:lvlText w:val=""/>
      <w:lvlJc w:val="left"/>
      <w:pPr>
        <w:ind w:left="720" w:hanging="360"/>
      </w:pPr>
      <w:rPr>
        <w:rFonts w:ascii="Symbol" w:hAnsi="Symbol"/>
      </w:rPr>
    </w:lvl>
    <w:lvl w:ilvl="3" w:tplc="A9849784">
      <w:start w:val="1"/>
      <w:numFmt w:val="bullet"/>
      <w:lvlText w:val=""/>
      <w:lvlJc w:val="left"/>
      <w:pPr>
        <w:ind w:left="720" w:hanging="360"/>
      </w:pPr>
      <w:rPr>
        <w:rFonts w:ascii="Symbol" w:hAnsi="Symbol"/>
      </w:rPr>
    </w:lvl>
    <w:lvl w:ilvl="4" w:tplc="4EFA4816">
      <w:start w:val="1"/>
      <w:numFmt w:val="bullet"/>
      <w:lvlText w:val=""/>
      <w:lvlJc w:val="left"/>
      <w:pPr>
        <w:ind w:left="720" w:hanging="360"/>
      </w:pPr>
      <w:rPr>
        <w:rFonts w:ascii="Symbol" w:hAnsi="Symbol"/>
      </w:rPr>
    </w:lvl>
    <w:lvl w:ilvl="5" w:tplc="D11CB50E">
      <w:start w:val="1"/>
      <w:numFmt w:val="bullet"/>
      <w:lvlText w:val=""/>
      <w:lvlJc w:val="left"/>
      <w:pPr>
        <w:ind w:left="720" w:hanging="360"/>
      </w:pPr>
      <w:rPr>
        <w:rFonts w:ascii="Symbol" w:hAnsi="Symbol"/>
      </w:rPr>
    </w:lvl>
    <w:lvl w:ilvl="6" w:tplc="6D34FF14">
      <w:start w:val="1"/>
      <w:numFmt w:val="bullet"/>
      <w:lvlText w:val=""/>
      <w:lvlJc w:val="left"/>
      <w:pPr>
        <w:ind w:left="720" w:hanging="360"/>
      </w:pPr>
      <w:rPr>
        <w:rFonts w:ascii="Symbol" w:hAnsi="Symbol"/>
      </w:rPr>
    </w:lvl>
    <w:lvl w:ilvl="7" w:tplc="5FA83F96">
      <w:start w:val="1"/>
      <w:numFmt w:val="bullet"/>
      <w:lvlText w:val=""/>
      <w:lvlJc w:val="left"/>
      <w:pPr>
        <w:ind w:left="720" w:hanging="360"/>
      </w:pPr>
      <w:rPr>
        <w:rFonts w:ascii="Symbol" w:hAnsi="Symbol"/>
      </w:rPr>
    </w:lvl>
    <w:lvl w:ilvl="8" w:tplc="B366E61E">
      <w:start w:val="1"/>
      <w:numFmt w:val="bullet"/>
      <w:lvlText w:val=""/>
      <w:lvlJc w:val="left"/>
      <w:pPr>
        <w:ind w:left="720" w:hanging="360"/>
      </w:pPr>
      <w:rPr>
        <w:rFonts w:ascii="Symbol" w:hAnsi="Symbol"/>
      </w:rPr>
    </w:lvl>
  </w:abstractNum>
  <w:num w:numId="1" w16cid:durableId="1625817300">
    <w:abstractNumId w:val="12"/>
  </w:num>
  <w:num w:numId="2" w16cid:durableId="1809742174">
    <w:abstractNumId w:val="11"/>
  </w:num>
  <w:num w:numId="3" w16cid:durableId="1080055833">
    <w:abstractNumId w:val="8"/>
  </w:num>
  <w:num w:numId="4" w16cid:durableId="397678049">
    <w:abstractNumId w:val="0"/>
  </w:num>
  <w:num w:numId="5" w16cid:durableId="234828937">
    <w:abstractNumId w:val="10"/>
  </w:num>
  <w:num w:numId="6" w16cid:durableId="1701930988">
    <w:abstractNumId w:val="5"/>
  </w:num>
  <w:num w:numId="7" w16cid:durableId="462306588">
    <w:abstractNumId w:val="2"/>
  </w:num>
  <w:num w:numId="8" w16cid:durableId="1573850819">
    <w:abstractNumId w:val="4"/>
  </w:num>
  <w:num w:numId="9" w16cid:durableId="271674195">
    <w:abstractNumId w:val="7"/>
  </w:num>
  <w:num w:numId="10" w16cid:durableId="2136678258">
    <w:abstractNumId w:val="1"/>
  </w:num>
  <w:num w:numId="11" w16cid:durableId="1872958415">
    <w:abstractNumId w:val="6"/>
  </w:num>
  <w:num w:numId="12" w16cid:durableId="1555046225">
    <w:abstractNumId w:val="9"/>
  </w:num>
  <w:num w:numId="13" w16cid:durableId="122506251">
    <w:abstractNumId w:val="3"/>
  </w:num>
  <w:num w:numId="14" w16cid:durableId="15608992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sabelle Lagacé">
    <w15:presenceInfo w15:providerId="Windows Live" w15:userId="861d98f32a730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B8"/>
    <w:rsid w:val="000214A2"/>
    <w:rsid w:val="0003299B"/>
    <w:rsid w:val="00044742"/>
    <w:rsid w:val="0005451E"/>
    <w:rsid w:val="000633E4"/>
    <w:rsid w:val="000638D6"/>
    <w:rsid w:val="000B35AD"/>
    <w:rsid w:val="000B4118"/>
    <w:rsid w:val="000C0459"/>
    <w:rsid w:val="000D6ECC"/>
    <w:rsid w:val="000D7696"/>
    <w:rsid w:val="001257C4"/>
    <w:rsid w:val="0015041A"/>
    <w:rsid w:val="001B090A"/>
    <w:rsid w:val="001C22F4"/>
    <w:rsid w:val="001C753F"/>
    <w:rsid w:val="001E2705"/>
    <w:rsid w:val="001E7313"/>
    <w:rsid w:val="00204E75"/>
    <w:rsid w:val="00287694"/>
    <w:rsid w:val="002B523A"/>
    <w:rsid w:val="002B6CD5"/>
    <w:rsid w:val="002C73B8"/>
    <w:rsid w:val="002D4893"/>
    <w:rsid w:val="0033364A"/>
    <w:rsid w:val="00345B86"/>
    <w:rsid w:val="003600E6"/>
    <w:rsid w:val="003816C1"/>
    <w:rsid w:val="003B18B5"/>
    <w:rsid w:val="003B670E"/>
    <w:rsid w:val="004045DA"/>
    <w:rsid w:val="004F1984"/>
    <w:rsid w:val="00501921"/>
    <w:rsid w:val="005043B4"/>
    <w:rsid w:val="005052DC"/>
    <w:rsid w:val="00511835"/>
    <w:rsid w:val="005173A5"/>
    <w:rsid w:val="00521AED"/>
    <w:rsid w:val="00534040"/>
    <w:rsid w:val="005445D2"/>
    <w:rsid w:val="005646F2"/>
    <w:rsid w:val="00564AFF"/>
    <w:rsid w:val="005A766E"/>
    <w:rsid w:val="005D3017"/>
    <w:rsid w:val="005D40F3"/>
    <w:rsid w:val="005F060E"/>
    <w:rsid w:val="005F4C9D"/>
    <w:rsid w:val="0069718E"/>
    <w:rsid w:val="006D5E67"/>
    <w:rsid w:val="006E6300"/>
    <w:rsid w:val="007246E3"/>
    <w:rsid w:val="00774E6E"/>
    <w:rsid w:val="00796CAD"/>
    <w:rsid w:val="007A5181"/>
    <w:rsid w:val="007C0668"/>
    <w:rsid w:val="00817A57"/>
    <w:rsid w:val="00825E62"/>
    <w:rsid w:val="008273EE"/>
    <w:rsid w:val="008338FE"/>
    <w:rsid w:val="00835DFA"/>
    <w:rsid w:val="008822F3"/>
    <w:rsid w:val="00885762"/>
    <w:rsid w:val="008A487B"/>
    <w:rsid w:val="008C79AC"/>
    <w:rsid w:val="00944AF8"/>
    <w:rsid w:val="00975C1D"/>
    <w:rsid w:val="00977BDF"/>
    <w:rsid w:val="009927DB"/>
    <w:rsid w:val="009A0881"/>
    <w:rsid w:val="009B3CC5"/>
    <w:rsid w:val="009F1A30"/>
    <w:rsid w:val="009F2034"/>
    <w:rsid w:val="009F4B4B"/>
    <w:rsid w:val="00A01A6A"/>
    <w:rsid w:val="00A06304"/>
    <w:rsid w:val="00AA6BA3"/>
    <w:rsid w:val="00AE5D87"/>
    <w:rsid w:val="00B250C9"/>
    <w:rsid w:val="00B665BA"/>
    <w:rsid w:val="00B7721B"/>
    <w:rsid w:val="00B8236C"/>
    <w:rsid w:val="00B91057"/>
    <w:rsid w:val="00BF7E9D"/>
    <w:rsid w:val="00C40C78"/>
    <w:rsid w:val="00C41A7B"/>
    <w:rsid w:val="00C54DDD"/>
    <w:rsid w:val="00C932DD"/>
    <w:rsid w:val="00CB47FF"/>
    <w:rsid w:val="00D52742"/>
    <w:rsid w:val="00D669B5"/>
    <w:rsid w:val="00DC6719"/>
    <w:rsid w:val="00DD1AC2"/>
    <w:rsid w:val="00E47DE6"/>
    <w:rsid w:val="00EA60CD"/>
    <w:rsid w:val="00EC0635"/>
    <w:rsid w:val="00EE4D89"/>
    <w:rsid w:val="00EE78BC"/>
    <w:rsid w:val="00F274BD"/>
    <w:rsid w:val="00F64FD3"/>
    <w:rsid w:val="00F70757"/>
    <w:rsid w:val="00F7087E"/>
    <w:rsid w:val="00F8029A"/>
    <w:rsid w:val="00F8144A"/>
    <w:rsid w:val="00F90054"/>
    <w:rsid w:val="00FF7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85018"/>
  <w15:docId w15:val="{6BE80552-A730-4641-BF11-B9078374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40"/>
      <w:szCs w:val="40"/>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uiPriority w:val="9"/>
    <w:unhideWhenUsed/>
    <w:qFormat/>
    <w:pPr>
      <w:spacing w:before="119"/>
      <w:ind w:left="30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20"/>
      <w:ind w:left="300"/>
    </w:pPr>
    <w:rPr>
      <w:b/>
      <w:bCs/>
    </w:rPr>
  </w:style>
  <w:style w:type="paragraph" w:styleId="TOC2">
    <w:name w:val="toc 2"/>
    <w:basedOn w:val="Normal"/>
    <w:uiPriority w:val="1"/>
    <w:qFormat/>
    <w:pPr>
      <w:spacing w:before="122"/>
      <w:ind w:left="520"/>
    </w:pPr>
    <w:rPr>
      <w:b/>
      <w:bCs/>
    </w:rPr>
  </w:style>
  <w:style w:type="paragraph" w:styleId="BodyText">
    <w:name w:val="Body Text"/>
    <w:basedOn w:val="Normal"/>
    <w:uiPriority w:val="1"/>
    <w:qFormat/>
  </w:style>
  <w:style w:type="paragraph" w:styleId="ListParagraph">
    <w:name w:val="List Paragraph"/>
    <w:basedOn w:val="Normal"/>
    <w:uiPriority w:val="1"/>
    <w:qFormat/>
    <w:pPr>
      <w:spacing w:before="1"/>
      <w:ind w:left="921" w:hanging="360"/>
    </w:pPr>
  </w:style>
  <w:style w:type="paragraph" w:customStyle="1" w:styleId="TableParagraph">
    <w:name w:val="Table Paragraph"/>
    <w:basedOn w:val="Normal"/>
    <w:uiPriority w:val="1"/>
    <w:qFormat/>
    <w:pPr>
      <w:ind w:left="6"/>
    </w:pPr>
  </w:style>
  <w:style w:type="paragraph" w:styleId="Header">
    <w:name w:val="header"/>
    <w:basedOn w:val="Normal"/>
    <w:link w:val="HeaderChar"/>
    <w:uiPriority w:val="99"/>
    <w:unhideWhenUsed/>
    <w:rsid w:val="001C22F4"/>
    <w:pPr>
      <w:tabs>
        <w:tab w:val="center" w:pos="4680"/>
        <w:tab w:val="right" w:pos="9360"/>
      </w:tabs>
    </w:pPr>
  </w:style>
  <w:style w:type="character" w:customStyle="1" w:styleId="HeaderChar">
    <w:name w:val="Header Char"/>
    <w:basedOn w:val="DefaultParagraphFont"/>
    <w:link w:val="Header"/>
    <w:uiPriority w:val="99"/>
    <w:rsid w:val="001C22F4"/>
    <w:rPr>
      <w:rFonts w:ascii="Calibri" w:eastAsia="Calibri" w:hAnsi="Calibri" w:cs="Calibri"/>
    </w:rPr>
  </w:style>
  <w:style w:type="paragraph" w:styleId="Footer">
    <w:name w:val="footer"/>
    <w:basedOn w:val="Normal"/>
    <w:link w:val="FooterChar"/>
    <w:uiPriority w:val="99"/>
    <w:unhideWhenUsed/>
    <w:rsid w:val="001C22F4"/>
    <w:pPr>
      <w:tabs>
        <w:tab w:val="center" w:pos="4680"/>
        <w:tab w:val="right" w:pos="9360"/>
      </w:tabs>
    </w:pPr>
  </w:style>
  <w:style w:type="character" w:customStyle="1" w:styleId="FooterChar">
    <w:name w:val="Footer Char"/>
    <w:basedOn w:val="DefaultParagraphFont"/>
    <w:link w:val="Footer"/>
    <w:uiPriority w:val="99"/>
    <w:rsid w:val="001C22F4"/>
    <w:rPr>
      <w:rFonts w:ascii="Calibri" w:eastAsia="Calibri" w:hAnsi="Calibri" w:cs="Calibri"/>
    </w:rPr>
  </w:style>
  <w:style w:type="character" w:styleId="CommentReference">
    <w:name w:val="annotation reference"/>
    <w:basedOn w:val="DefaultParagraphFont"/>
    <w:uiPriority w:val="99"/>
    <w:semiHidden/>
    <w:unhideWhenUsed/>
    <w:rsid w:val="00796CAD"/>
    <w:rPr>
      <w:sz w:val="16"/>
      <w:szCs w:val="16"/>
    </w:rPr>
  </w:style>
  <w:style w:type="paragraph" w:styleId="CommentText">
    <w:name w:val="annotation text"/>
    <w:basedOn w:val="Normal"/>
    <w:link w:val="CommentTextChar"/>
    <w:uiPriority w:val="99"/>
    <w:unhideWhenUsed/>
    <w:rsid w:val="00796CAD"/>
    <w:rPr>
      <w:sz w:val="20"/>
      <w:szCs w:val="20"/>
    </w:rPr>
  </w:style>
  <w:style w:type="character" w:customStyle="1" w:styleId="CommentTextChar">
    <w:name w:val="Comment Text Char"/>
    <w:basedOn w:val="DefaultParagraphFont"/>
    <w:link w:val="CommentText"/>
    <w:uiPriority w:val="99"/>
    <w:rsid w:val="00796CA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96CAD"/>
    <w:rPr>
      <w:b/>
      <w:bCs/>
    </w:rPr>
  </w:style>
  <w:style w:type="character" w:customStyle="1" w:styleId="CommentSubjectChar">
    <w:name w:val="Comment Subject Char"/>
    <w:basedOn w:val="CommentTextChar"/>
    <w:link w:val="CommentSubject"/>
    <w:uiPriority w:val="99"/>
    <w:semiHidden/>
    <w:rsid w:val="00796CAD"/>
    <w:rPr>
      <w:rFonts w:ascii="Calibri" w:eastAsia="Calibri" w:hAnsi="Calibri" w:cs="Calibri"/>
      <w:b/>
      <w:bCs/>
      <w:sz w:val="20"/>
      <w:szCs w:val="20"/>
    </w:rPr>
  </w:style>
  <w:style w:type="character" w:styleId="Hyperlink">
    <w:name w:val="Hyperlink"/>
    <w:basedOn w:val="DefaultParagraphFont"/>
    <w:uiPriority w:val="99"/>
    <w:unhideWhenUsed/>
    <w:rsid w:val="005A766E"/>
    <w:rPr>
      <w:color w:val="0000FF" w:themeColor="hyperlink"/>
      <w:u w:val="single"/>
    </w:rPr>
  </w:style>
  <w:style w:type="character" w:styleId="UnresolvedMention">
    <w:name w:val="Unresolved Mention"/>
    <w:basedOn w:val="DefaultParagraphFont"/>
    <w:uiPriority w:val="99"/>
    <w:semiHidden/>
    <w:unhideWhenUsed/>
    <w:rsid w:val="005A766E"/>
    <w:rPr>
      <w:color w:val="605E5C"/>
      <w:shd w:val="clear" w:color="auto" w:fill="E1DFDD"/>
    </w:rPr>
  </w:style>
  <w:style w:type="character" w:styleId="FollowedHyperlink">
    <w:name w:val="FollowedHyperlink"/>
    <w:basedOn w:val="DefaultParagraphFont"/>
    <w:uiPriority w:val="99"/>
    <w:semiHidden/>
    <w:unhideWhenUsed/>
    <w:rsid w:val="005A76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oc-innovation.ca/wp-content/uploads/2022/10/C2C-Schedule-C-Eligible-Expenses_FR.pdf" TargetMode="External"/><Relationship Id="rId18" Type="http://schemas.openxmlformats.org/officeDocument/2006/relationships/hyperlink" Target="https://www.nserc-crsng.gc.ca/innovate-innover/alliance-alliance/apply-presentez_votre_demande_fra.asp" TargetMode="External"/><Relationship Id="rId26" Type="http://schemas.openxmlformats.org/officeDocument/2006/relationships/hyperlink" Target="https://www.oc-innovation.ca/fr/a-propos-du-cio/equipe-cio/contacts-pour-le-developpement-des-affaires-et-la-commercialisation/" TargetMode="External"/><Relationship Id="rId3" Type="http://schemas.openxmlformats.org/officeDocument/2006/relationships/settings" Target="settings.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ww.oc-innovation.ca/wp-content/uploads/2022/10/C2C-Schedule-C-Eligible-Expenses_FR.pdf" TargetMode="External"/><Relationship Id="rId17" Type="http://schemas.openxmlformats.org/officeDocument/2006/relationships/hyperlink" Target="https://www.oc-innovation.ca/fr/programmes/collaborer-pour-commercialiser/" TargetMode="External"/><Relationship Id="rId25" Type="http://schemas.openxmlformats.org/officeDocument/2006/relationships/hyperlink" Target="https://www.oc-innovation.ca/fr/a-propos-du-cio/equipe-cio/contacts-pour-le-developpement-des-affaires-et-la-commercialisation/" TargetMode="Externa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oc-innovation.ca/fr/programmes/" TargetMode="External"/><Relationship Id="rId20" Type="http://schemas.openxmlformats.org/officeDocument/2006/relationships/image" Target="media/image4.jpeg"/><Relationship Id="rId29" Type="http://schemas.openxmlformats.org/officeDocument/2006/relationships/hyperlink" Target="https://www.oc-innovation.ca/wp-content/uploads/2023/08/C2C_trilateral-funding-agreem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erc-crsng.gc.ca/Innovate-Innover/alliance-alliance/index_fra.asp" TargetMode="External"/><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sed-isde.canada.ca/cc/lgcy/fdrlCrpSrch.html" TargetMode="External"/><Relationship Id="rId23" Type="http://schemas.microsoft.com/office/2016/09/relationships/commentsIds" Target="commentsIds.xml"/><Relationship Id="rId28" Type="http://schemas.openxmlformats.org/officeDocument/2006/relationships/hyperlink" Target="https://www.oc-innovation.ca/fr/programmes/collaborer-pour-commercialiser/" TargetMode="External"/><Relationship Id="rId10" Type="http://schemas.openxmlformats.org/officeDocument/2006/relationships/hyperlink" Target="https://www.nserc-crsng.gc.ca/Professors-Professeurs/RPP-PP/ARD-RDA/Funding-Financement_fra.asp" TargetMode="External"/><Relationship Id="rId19" Type="http://schemas.openxmlformats.org/officeDocument/2006/relationships/hyperlink" Target="https://www.nserc-crsng.gc.ca/Professors-Professeurs/RPP-PP/ARD-RDA/Funding-Financement_fra.asp" TargetMode="External"/><Relationship Id="rId31" Type="http://schemas.openxmlformats.org/officeDocument/2006/relationships/hyperlink" Target="mailto:jpeng@oc-innovation.ca" TargetMode="External"/><Relationship Id="rId4" Type="http://schemas.openxmlformats.org/officeDocument/2006/relationships/webSettings" Target="webSettings.xml"/><Relationship Id="rId9" Type="http://schemas.openxmlformats.org/officeDocument/2006/relationships/hyperlink" Target="https://www.nserc-crsng.gc.ca/Innovate-Innover/alliance-alliance/index_fra.asp" TargetMode="External"/><Relationship Id="rId14" Type="http://schemas.openxmlformats.org/officeDocument/2006/relationships/hyperlink" Target="https://ised-isde.canada.ca/cc/lgcy/fdrlCrpSrch.html" TargetMode="External"/><Relationship Id="rId22" Type="http://schemas.microsoft.com/office/2011/relationships/commentsExtended" Target="commentsExtended.xml"/><Relationship Id="rId27" Type="http://schemas.openxmlformats.org/officeDocument/2006/relationships/hyperlink" Target="https://www.oc-innovation.ca/wp-content/uploads/2022/10/C2C-Proposal-Questions-Final-Version_FR.docx" TargetMode="External"/><Relationship Id="rId30" Type="http://schemas.openxmlformats.org/officeDocument/2006/relationships/hyperlink" Target="https://www.oc-innovation.ca/fr/a-propos-du-cio/equipe-cio/contacts-pour-le-developpement-des-affaires-et-la-commercialisation/" TargetMode="Externa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4552</Words>
  <Characters>25947</Characters>
  <Application>Microsoft Office Word</Application>
  <DocSecurity>0</DocSecurity>
  <Lines>216</Lines>
  <Paragraphs>60</Paragraphs>
  <ScaleCrop>false</ScaleCrop>
  <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VIP - Program Guidelines (Dec2021)</dc:title>
  <dc:creator>jmoles</dc:creator>
  <cp:lastModifiedBy>Grace Hallman</cp:lastModifiedBy>
  <cp:revision>3</cp:revision>
  <dcterms:created xsi:type="dcterms:W3CDTF">2024-10-25T13:18:00Z</dcterms:created>
  <dcterms:modified xsi:type="dcterms:W3CDTF">2024-10-25T13:19:00Z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Acrobat PDFMaker 24 for Word</vt:lpwstr>
  </property>
  <property fmtid="{D5CDD505-2E9C-101B-9397-08002B2CF9AE}" pid="4" name="LastSaved">
    <vt:filetime>2024-07-19T00:00:00Z</vt:filetime>
  </property>
</Properties>
</file>